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F2" w:rsidRPr="006D0A65" w:rsidRDefault="00BB6DF2" w:rsidP="006D0A65">
      <w:pPr>
        <w:ind w:left="1440" w:firstLine="720"/>
        <w:jc w:val="right"/>
        <w:rPr>
          <w:bCs/>
          <w:sz w:val="28"/>
          <w:szCs w:val="28"/>
        </w:rPr>
      </w:pPr>
      <w:r w:rsidRPr="006D0A65">
        <w:rPr>
          <w:bCs/>
          <w:sz w:val="28"/>
          <w:szCs w:val="28"/>
        </w:rPr>
        <w:t xml:space="preserve">Anexa nr. </w:t>
      </w:r>
      <w:r>
        <w:rPr>
          <w:bCs/>
          <w:sz w:val="28"/>
          <w:szCs w:val="28"/>
        </w:rPr>
        <w:t>1</w:t>
      </w:r>
      <w:r w:rsidRPr="006D0A65">
        <w:rPr>
          <w:bCs/>
          <w:sz w:val="28"/>
          <w:szCs w:val="28"/>
        </w:rPr>
        <w:t xml:space="preserve"> la HCL </w:t>
      </w:r>
    </w:p>
    <w:p w:rsidR="00BB6DF2" w:rsidRPr="006D0A65" w:rsidRDefault="00BB6DF2" w:rsidP="006D0A65">
      <w:pPr>
        <w:jc w:val="right"/>
        <w:rPr>
          <w:bCs/>
          <w:sz w:val="28"/>
          <w:szCs w:val="28"/>
        </w:rPr>
      </w:pPr>
      <w:r w:rsidRPr="006D0A65">
        <w:rPr>
          <w:bCs/>
          <w:sz w:val="28"/>
          <w:szCs w:val="28"/>
        </w:rPr>
        <w:tab/>
      </w:r>
      <w:r w:rsidRPr="006D0A65">
        <w:rPr>
          <w:bCs/>
          <w:sz w:val="28"/>
          <w:szCs w:val="28"/>
        </w:rPr>
        <w:tab/>
      </w:r>
      <w:r w:rsidRPr="006D0A65">
        <w:rPr>
          <w:bCs/>
          <w:sz w:val="28"/>
          <w:szCs w:val="28"/>
        </w:rPr>
        <w:tab/>
      </w:r>
      <w:r w:rsidRPr="006D0A65">
        <w:rPr>
          <w:bCs/>
          <w:sz w:val="28"/>
          <w:szCs w:val="28"/>
        </w:rPr>
        <w:tab/>
      </w:r>
      <w:r w:rsidRPr="006D0A65">
        <w:rPr>
          <w:bCs/>
          <w:sz w:val="28"/>
          <w:szCs w:val="28"/>
        </w:rPr>
        <w:tab/>
      </w:r>
      <w:r w:rsidRPr="006D0A65">
        <w:rPr>
          <w:bCs/>
          <w:sz w:val="28"/>
          <w:szCs w:val="28"/>
        </w:rPr>
        <w:tab/>
      </w:r>
      <w:r w:rsidRPr="006D0A65">
        <w:rPr>
          <w:bCs/>
          <w:sz w:val="28"/>
          <w:szCs w:val="28"/>
        </w:rPr>
        <w:tab/>
        <w:t>______/17.09.2014.</w:t>
      </w:r>
    </w:p>
    <w:p w:rsidR="00BB6DF2" w:rsidRPr="006D0A65" w:rsidRDefault="00BB6DF2" w:rsidP="006D0A65">
      <w:pPr>
        <w:jc w:val="right"/>
        <w:rPr>
          <w:b/>
          <w:bCs/>
          <w:sz w:val="28"/>
          <w:szCs w:val="28"/>
        </w:rPr>
      </w:pPr>
    </w:p>
    <w:p w:rsidR="00BB6DF2" w:rsidRPr="006D0A65" w:rsidRDefault="00BB6DF2" w:rsidP="006D0A65">
      <w:pPr>
        <w:jc w:val="right"/>
        <w:rPr>
          <w:b/>
          <w:bCs/>
          <w:sz w:val="28"/>
          <w:szCs w:val="28"/>
        </w:rPr>
      </w:pPr>
    </w:p>
    <w:p w:rsidR="00BB6DF2" w:rsidRPr="006D0A65" w:rsidRDefault="00BB6DF2" w:rsidP="009138F5">
      <w:pPr>
        <w:jc w:val="center"/>
        <w:rPr>
          <w:b/>
          <w:bCs/>
          <w:sz w:val="28"/>
          <w:szCs w:val="28"/>
        </w:rPr>
      </w:pPr>
      <w:r w:rsidRPr="006D0A65">
        <w:rPr>
          <w:b/>
          <w:bCs/>
          <w:sz w:val="28"/>
          <w:szCs w:val="28"/>
        </w:rPr>
        <w:t xml:space="preserve">STUDIU DE FUNDAMENTARE A DECIZIEI DE CONCESIONARE A SERVICIULUI PUBLIC DE SALUBRIZARE A COMUNEI TINOSU </w:t>
      </w:r>
    </w:p>
    <w:p w:rsidR="00BB6DF2" w:rsidRPr="006D0A65" w:rsidRDefault="00BB6DF2" w:rsidP="009138F5">
      <w:pPr>
        <w:jc w:val="center"/>
        <w:rPr>
          <w:b/>
          <w:bCs/>
          <w:sz w:val="28"/>
          <w:szCs w:val="28"/>
        </w:rPr>
      </w:pPr>
    </w:p>
    <w:p w:rsidR="00BB6DF2" w:rsidRPr="006D0A65" w:rsidRDefault="00BB6DF2" w:rsidP="009138F5">
      <w:pPr>
        <w:rPr>
          <w:b/>
          <w:bCs/>
          <w:sz w:val="28"/>
          <w:szCs w:val="28"/>
        </w:rPr>
      </w:pPr>
    </w:p>
    <w:p w:rsidR="00BB6DF2" w:rsidRPr="006D0A65" w:rsidRDefault="00BB6DF2" w:rsidP="006D0A65">
      <w:pPr>
        <w:numPr>
          <w:ilvl w:val="0"/>
          <w:numId w:val="1"/>
        </w:numPr>
        <w:jc w:val="center"/>
        <w:rPr>
          <w:b/>
          <w:bCs/>
          <w:sz w:val="28"/>
          <w:szCs w:val="28"/>
        </w:rPr>
      </w:pPr>
      <w:r w:rsidRPr="006D0A65">
        <w:rPr>
          <w:b/>
          <w:bCs/>
          <w:sz w:val="28"/>
          <w:szCs w:val="28"/>
        </w:rPr>
        <w:t>Consideraţii de ordin general</w:t>
      </w:r>
    </w:p>
    <w:p w:rsidR="00BB6DF2" w:rsidRPr="006D0A65" w:rsidRDefault="00BB6DF2" w:rsidP="009138F5">
      <w:pPr>
        <w:ind w:left="360"/>
        <w:rPr>
          <w:sz w:val="28"/>
          <w:szCs w:val="28"/>
        </w:rPr>
      </w:pPr>
    </w:p>
    <w:p w:rsidR="00BB6DF2" w:rsidRPr="006D0A65" w:rsidRDefault="00BB6DF2" w:rsidP="009138F5">
      <w:pPr>
        <w:jc w:val="both"/>
        <w:rPr>
          <w:sz w:val="28"/>
          <w:szCs w:val="28"/>
        </w:rPr>
      </w:pPr>
      <w:r>
        <w:rPr>
          <w:sz w:val="28"/>
          <w:szCs w:val="28"/>
        </w:rPr>
        <w:t xml:space="preserve">     </w:t>
      </w:r>
      <w:r>
        <w:rPr>
          <w:sz w:val="28"/>
          <w:szCs w:val="28"/>
        </w:rPr>
        <w:tab/>
      </w:r>
      <w:r w:rsidRPr="006D0A65">
        <w:rPr>
          <w:sz w:val="28"/>
          <w:szCs w:val="28"/>
        </w:rPr>
        <w:t xml:space="preserve">Salubrizarea localităţilor este un serviciu public local de gospodărie comunală, organizat, coordonat, condus şi controlat de către autoritatea administraţiei publice locale, în cazul de faţă de către comuna </w:t>
      </w:r>
      <w:r>
        <w:rPr>
          <w:sz w:val="28"/>
          <w:szCs w:val="28"/>
        </w:rPr>
        <w:t>Tinosu</w:t>
      </w:r>
      <w:r w:rsidRPr="006D0A65">
        <w:rPr>
          <w:sz w:val="28"/>
          <w:szCs w:val="28"/>
        </w:rPr>
        <w:t xml:space="preserve"> .</w:t>
      </w:r>
    </w:p>
    <w:p w:rsidR="00BB6DF2" w:rsidRPr="006D0A65" w:rsidRDefault="00BB6DF2" w:rsidP="009138F5">
      <w:pPr>
        <w:jc w:val="both"/>
        <w:rPr>
          <w:sz w:val="28"/>
          <w:szCs w:val="28"/>
        </w:rPr>
      </w:pPr>
      <w:r w:rsidRPr="006D0A65">
        <w:rPr>
          <w:sz w:val="28"/>
          <w:szCs w:val="28"/>
        </w:rPr>
        <w:t xml:space="preserve">       </w:t>
      </w:r>
      <w:r>
        <w:rPr>
          <w:sz w:val="28"/>
          <w:szCs w:val="28"/>
        </w:rPr>
        <w:tab/>
      </w:r>
      <w:r w:rsidRPr="006D0A65">
        <w:rPr>
          <w:sz w:val="28"/>
          <w:szCs w:val="28"/>
        </w:rPr>
        <w:t xml:space="preserve">Serviciul public de salubrizare se organizează pentru </w:t>
      </w:r>
      <w:r>
        <w:rPr>
          <w:sz w:val="28"/>
          <w:szCs w:val="28"/>
        </w:rPr>
        <w:t>asigurarea unui mediu de viată sănătos</w:t>
      </w:r>
      <w:r w:rsidRPr="006D0A65">
        <w:rPr>
          <w:sz w:val="28"/>
          <w:szCs w:val="28"/>
        </w:rPr>
        <w:t xml:space="preserve"> populaţiei, instituţiilor publice şi agenţilor economici.</w:t>
      </w:r>
    </w:p>
    <w:p w:rsidR="00BB6DF2" w:rsidRPr="006D0A65" w:rsidRDefault="00BB6DF2" w:rsidP="009138F5">
      <w:pPr>
        <w:jc w:val="both"/>
        <w:rPr>
          <w:sz w:val="28"/>
          <w:szCs w:val="28"/>
        </w:rPr>
      </w:pPr>
      <w:r w:rsidRPr="006D0A65">
        <w:rPr>
          <w:sz w:val="28"/>
          <w:szCs w:val="28"/>
        </w:rPr>
        <w:t xml:space="preserve">       </w:t>
      </w:r>
      <w:r>
        <w:rPr>
          <w:sz w:val="28"/>
          <w:szCs w:val="28"/>
        </w:rPr>
        <w:tab/>
      </w:r>
      <w:r w:rsidRPr="006D0A65">
        <w:rPr>
          <w:sz w:val="28"/>
          <w:szCs w:val="28"/>
        </w:rPr>
        <w:t xml:space="preserve">Obiectul concesiunii îl reprezintă serviciul public de salubrizare al comunei </w:t>
      </w:r>
      <w:r>
        <w:rPr>
          <w:sz w:val="28"/>
          <w:szCs w:val="28"/>
        </w:rPr>
        <w:t>Tinosu</w:t>
      </w:r>
      <w:r w:rsidRPr="006D0A65">
        <w:rPr>
          <w:sz w:val="28"/>
          <w:szCs w:val="28"/>
        </w:rPr>
        <w:t>, care cuprinde următoarele activităţi:</w:t>
      </w:r>
    </w:p>
    <w:p w:rsidR="00BB6DF2" w:rsidRPr="006D0A65" w:rsidRDefault="00BB6DF2" w:rsidP="009138F5">
      <w:pPr>
        <w:numPr>
          <w:ilvl w:val="0"/>
          <w:numId w:val="3"/>
        </w:numPr>
        <w:jc w:val="both"/>
        <w:rPr>
          <w:sz w:val="28"/>
          <w:szCs w:val="28"/>
        </w:rPr>
      </w:pPr>
      <w:r w:rsidRPr="006D0A65">
        <w:rPr>
          <w:sz w:val="28"/>
          <w:szCs w:val="28"/>
        </w:rPr>
        <w:t xml:space="preserve">activitatea de precolectare, colectare şi transport a deşeurilor municipale, cu excepţia celor cu regim special, deşeuri produse de persoane fizice şi juridice din comuna </w:t>
      </w:r>
      <w:r>
        <w:rPr>
          <w:sz w:val="28"/>
          <w:szCs w:val="28"/>
        </w:rPr>
        <w:t>Tinosu</w:t>
      </w:r>
      <w:r w:rsidRPr="006D0A65">
        <w:rPr>
          <w:sz w:val="28"/>
          <w:szCs w:val="28"/>
        </w:rPr>
        <w:t>;</w:t>
      </w:r>
    </w:p>
    <w:p w:rsidR="00BB6DF2" w:rsidRPr="006D0A65" w:rsidRDefault="00BB6DF2" w:rsidP="009138F5">
      <w:pPr>
        <w:numPr>
          <w:ilvl w:val="0"/>
          <w:numId w:val="2"/>
        </w:numPr>
        <w:jc w:val="both"/>
        <w:rPr>
          <w:sz w:val="28"/>
          <w:szCs w:val="28"/>
        </w:rPr>
      </w:pPr>
      <w:r w:rsidRPr="006D0A65">
        <w:rPr>
          <w:sz w:val="28"/>
          <w:szCs w:val="28"/>
        </w:rPr>
        <w:t>sortarea deşeurilor municipale;</w:t>
      </w:r>
    </w:p>
    <w:p w:rsidR="00BB6DF2" w:rsidRPr="006D0A65" w:rsidRDefault="00BB6DF2" w:rsidP="009138F5">
      <w:pPr>
        <w:numPr>
          <w:ilvl w:val="0"/>
          <w:numId w:val="2"/>
        </w:numPr>
        <w:jc w:val="both"/>
        <w:rPr>
          <w:sz w:val="28"/>
          <w:szCs w:val="28"/>
        </w:rPr>
      </w:pPr>
      <w:r w:rsidRPr="006D0A65">
        <w:rPr>
          <w:sz w:val="28"/>
          <w:szCs w:val="28"/>
        </w:rPr>
        <w:t>depozitarea cont</w:t>
      </w:r>
      <w:r>
        <w:rPr>
          <w:sz w:val="28"/>
          <w:szCs w:val="28"/>
        </w:rPr>
        <w:t>rolată a deşeurilor municipale.</w:t>
      </w:r>
    </w:p>
    <w:p w:rsidR="00BB6DF2" w:rsidRPr="006D0A65" w:rsidRDefault="00BB6DF2" w:rsidP="009138F5">
      <w:pPr>
        <w:ind w:left="360"/>
        <w:jc w:val="both"/>
        <w:rPr>
          <w:sz w:val="28"/>
          <w:szCs w:val="28"/>
        </w:rPr>
      </w:pPr>
    </w:p>
    <w:p w:rsidR="00BB6DF2" w:rsidRPr="006D0A65" w:rsidRDefault="00BB6DF2" w:rsidP="009138F5">
      <w:pPr>
        <w:jc w:val="both"/>
        <w:rPr>
          <w:sz w:val="28"/>
          <w:szCs w:val="28"/>
        </w:rPr>
      </w:pPr>
      <w:r w:rsidRPr="006D0A65">
        <w:rPr>
          <w:sz w:val="28"/>
          <w:szCs w:val="28"/>
        </w:rPr>
        <w:t xml:space="preserve">       </w:t>
      </w:r>
      <w:r>
        <w:rPr>
          <w:sz w:val="28"/>
          <w:szCs w:val="28"/>
        </w:rPr>
        <w:tab/>
      </w:r>
      <w:r w:rsidRPr="006D0A65">
        <w:rPr>
          <w:sz w:val="28"/>
          <w:szCs w:val="28"/>
        </w:rPr>
        <w:t>Principiile de organizare şi funcţionare a serviciului public de salubrizare, ca parte componentă a serviciilor publice de gospodărie comunală, sunt următoarele:</w:t>
      </w:r>
    </w:p>
    <w:p w:rsidR="00BB6DF2" w:rsidRPr="006D0A65" w:rsidRDefault="00BB6DF2" w:rsidP="009138F5">
      <w:pPr>
        <w:numPr>
          <w:ilvl w:val="0"/>
          <w:numId w:val="2"/>
        </w:numPr>
        <w:jc w:val="both"/>
        <w:rPr>
          <w:sz w:val="28"/>
          <w:szCs w:val="28"/>
        </w:rPr>
      </w:pPr>
      <w:r w:rsidRPr="006D0A65">
        <w:rPr>
          <w:sz w:val="28"/>
          <w:szCs w:val="28"/>
        </w:rPr>
        <w:t>protecţia sănătăţii publice;</w:t>
      </w:r>
    </w:p>
    <w:p w:rsidR="00BB6DF2" w:rsidRPr="006D0A65" w:rsidRDefault="00BB6DF2" w:rsidP="009138F5">
      <w:pPr>
        <w:numPr>
          <w:ilvl w:val="0"/>
          <w:numId w:val="2"/>
        </w:numPr>
        <w:jc w:val="both"/>
        <w:rPr>
          <w:sz w:val="28"/>
          <w:szCs w:val="28"/>
        </w:rPr>
      </w:pPr>
      <w:r w:rsidRPr="006D0A65">
        <w:rPr>
          <w:sz w:val="28"/>
          <w:szCs w:val="28"/>
        </w:rPr>
        <w:t>autonomia locală şi descentralizarea;</w:t>
      </w:r>
    </w:p>
    <w:p w:rsidR="00BB6DF2" w:rsidRPr="006D0A65" w:rsidRDefault="00BB6DF2" w:rsidP="009138F5">
      <w:pPr>
        <w:numPr>
          <w:ilvl w:val="0"/>
          <w:numId w:val="2"/>
        </w:numPr>
        <w:jc w:val="both"/>
        <w:rPr>
          <w:sz w:val="28"/>
          <w:szCs w:val="28"/>
        </w:rPr>
      </w:pPr>
      <w:r w:rsidRPr="006D0A65">
        <w:rPr>
          <w:sz w:val="28"/>
          <w:szCs w:val="28"/>
        </w:rPr>
        <w:t>responsabilitatea faţă de cetăţeni;</w:t>
      </w:r>
    </w:p>
    <w:p w:rsidR="00BB6DF2" w:rsidRPr="006D0A65" w:rsidRDefault="00BB6DF2" w:rsidP="009138F5">
      <w:pPr>
        <w:numPr>
          <w:ilvl w:val="0"/>
          <w:numId w:val="2"/>
        </w:numPr>
        <w:tabs>
          <w:tab w:val="clear" w:pos="720"/>
          <w:tab w:val="num" w:pos="0"/>
        </w:tabs>
        <w:jc w:val="both"/>
        <w:rPr>
          <w:sz w:val="28"/>
          <w:szCs w:val="28"/>
        </w:rPr>
      </w:pPr>
      <w:r w:rsidRPr="006D0A65">
        <w:rPr>
          <w:sz w:val="28"/>
          <w:szCs w:val="28"/>
        </w:rPr>
        <w:t>conservarea şi protecţia mediului înconjurător;</w:t>
      </w:r>
    </w:p>
    <w:p w:rsidR="00BB6DF2" w:rsidRPr="006D0A65" w:rsidRDefault="00BB6DF2" w:rsidP="009138F5">
      <w:pPr>
        <w:numPr>
          <w:ilvl w:val="0"/>
          <w:numId w:val="2"/>
        </w:numPr>
        <w:jc w:val="both"/>
        <w:rPr>
          <w:sz w:val="28"/>
          <w:szCs w:val="28"/>
        </w:rPr>
      </w:pPr>
      <w:r w:rsidRPr="006D0A65">
        <w:rPr>
          <w:sz w:val="28"/>
          <w:szCs w:val="28"/>
        </w:rPr>
        <w:t>calitatea şi continuitatea serviciului;</w:t>
      </w:r>
    </w:p>
    <w:p w:rsidR="00BB6DF2" w:rsidRPr="006D0A65" w:rsidRDefault="00BB6DF2" w:rsidP="009138F5">
      <w:pPr>
        <w:numPr>
          <w:ilvl w:val="0"/>
          <w:numId w:val="2"/>
        </w:numPr>
        <w:jc w:val="both"/>
        <w:rPr>
          <w:sz w:val="28"/>
          <w:szCs w:val="28"/>
        </w:rPr>
      </w:pPr>
      <w:r w:rsidRPr="006D0A65">
        <w:rPr>
          <w:sz w:val="28"/>
          <w:szCs w:val="28"/>
        </w:rPr>
        <w:t>tarife echitabile şi accesibile tuturor consumatorilor;</w:t>
      </w:r>
    </w:p>
    <w:p w:rsidR="00BB6DF2" w:rsidRPr="006D0A65" w:rsidRDefault="00BB6DF2" w:rsidP="009138F5">
      <w:pPr>
        <w:numPr>
          <w:ilvl w:val="0"/>
          <w:numId w:val="2"/>
        </w:numPr>
        <w:jc w:val="both"/>
        <w:rPr>
          <w:sz w:val="28"/>
          <w:szCs w:val="28"/>
        </w:rPr>
      </w:pPr>
      <w:r w:rsidRPr="006D0A65">
        <w:rPr>
          <w:sz w:val="28"/>
          <w:szCs w:val="28"/>
        </w:rPr>
        <w:t>nediscriminarea şi egalitatea tuturor consumatorilor;</w:t>
      </w:r>
    </w:p>
    <w:p w:rsidR="00BB6DF2" w:rsidRPr="006D0A65" w:rsidRDefault="00BB6DF2" w:rsidP="009138F5">
      <w:pPr>
        <w:numPr>
          <w:ilvl w:val="0"/>
          <w:numId w:val="2"/>
        </w:numPr>
        <w:jc w:val="both"/>
        <w:rPr>
          <w:sz w:val="28"/>
          <w:szCs w:val="28"/>
        </w:rPr>
      </w:pPr>
      <w:r w:rsidRPr="006D0A65">
        <w:rPr>
          <w:sz w:val="28"/>
          <w:szCs w:val="28"/>
        </w:rPr>
        <w:t>transparenţa, consultarea şi antrenarea în decizii a cetăţenilor;</w:t>
      </w:r>
    </w:p>
    <w:p w:rsidR="00BB6DF2" w:rsidRPr="006D0A65" w:rsidRDefault="00BB6DF2" w:rsidP="009138F5">
      <w:pPr>
        <w:numPr>
          <w:ilvl w:val="0"/>
          <w:numId w:val="2"/>
        </w:numPr>
        <w:jc w:val="both"/>
        <w:rPr>
          <w:sz w:val="28"/>
          <w:szCs w:val="28"/>
        </w:rPr>
      </w:pPr>
      <w:r w:rsidRPr="006D0A65">
        <w:rPr>
          <w:sz w:val="28"/>
          <w:szCs w:val="28"/>
        </w:rPr>
        <w:t>administrarea corectă şi eficientă a bunurilor din proprietatea publică şi a banilor publici;</w:t>
      </w:r>
    </w:p>
    <w:p w:rsidR="00BB6DF2" w:rsidRPr="006D0A65" w:rsidRDefault="00BB6DF2" w:rsidP="009138F5">
      <w:pPr>
        <w:numPr>
          <w:ilvl w:val="0"/>
          <w:numId w:val="2"/>
        </w:numPr>
        <w:jc w:val="both"/>
        <w:rPr>
          <w:sz w:val="28"/>
          <w:szCs w:val="28"/>
        </w:rPr>
      </w:pPr>
      <w:r w:rsidRPr="006D0A65">
        <w:rPr>
          <w:sz w:val="28"/>
          <w:szCs w:val="28"/>
        </w:rPr>
        <w:t>dezvoltare durabilă;</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Prin modul de organizare şi desfăşurare a activităţii serviciilor publice de salubrizare a localitaţilor, autorităţile administraţiei publice locale sunt obligate să asigure realizarea următoarelor obiective:</w:t>
      </w:r>
    </w:p>
    <w:p w:rsidR="00BB6DF2" w:rsidRDefault="00BB6DF2" w:rsidP="006D0A65">
      <w:pPr>
        <w:ind w:firstLine="360"/>
        <w:jc w:val="both"/>
        <w:rPr>
          <w:color w:val="000000"/>
          <w:sz w:val="28"/>
          <w:szCs w:val="28"/>
        </w:rPr>
      </w:pPr>
      <w:r>
        <w:rPr>
          <w:color w:val="000000"/>
          <w:sz w:val="28"/>
          <w:szCs w:val="28"/>
        </w:rPr>
        <w:t xml:space="preserve">- </w:t>
      </w:r>
      <w:r w:rsidRPr="006D0A65">
        <w:rPr>
          <w:color w:val="000000"/>
          <w:sz w:val="28"/>
          <w:szCs w:val="28"/>
        </w:rPr>
        <w:t xml:space="preserve">îmbunătăţirea condiţiilor de viaţă ale cetăţenilor prin promovarea calităţii </w:t>
      </w:r>
      <w:r>
        <w:rPr>
          <w:color w:val="000000"/>
          <w:sz w:val="28"/>
          <w:szCs w:val="28"/>
        </w:rPr>
        <w:t>şi eficienţei acestor servicii;</w:t>
      </w:r>
    </w:p>
    <w:p w:rsidR="00BB6DF2" w:rsidRPr="006D0A65" w:rsidRDefault="00BB6DF2" w:rsidP="006D0A65">
      <w:pPr>
        <w:ind w:firstLine="360"/>
        <w:jc w:val="both"/>
        <w:rPr>
          <w:color w:val="000000"/>
          <w:sz w:val="28"/>
          <w:szCs w:val="28"/>
        </w:rPr>
      </w:pPr>
      <w:r>
        <w:rPr>
          <w:color w:val="000000"/>
          <w:sz w:val="28"/>
          <w:szCs w:val="28"/>
        </w:rPr>
        <w:t>- cr</w:t>
      </w:r>
      <w:r w:rsidRPr="006D0A65">
        <w:rPr>
          <w:color w:val="000000"/>
          <w:sz w:val="28"/>
          <w:szCs w:val="28"/>
        </w:rPr>
        <w:t>eşterea calităţii vieţii cetăţenilor prin susţinerea dezvoltării economice a localităţilor, în principal prin stimularea mecanismelor economiei de piaţă şi prin realizarea unei infr</w:t>
      </w:r>
      <w:r>
        <w:rPr>
          <w:color w:val="000000"/>
          <w:sz w:val="28"/>
          <w:szCs w:val="28"/>
        </w:rPr>
        <w:t>a</w:t>
      </w:r>
      <w:r w:rsidRPr="006D0A65">
        <w:rPr>
          <w:color w:val="000000"/>
          <w:sz w:val="28"/>
          <w:szCs w:val="28"/>
        </w:rPr>
        <w:t>structuri edilitare moderne, ca bază a dezvoltării economice şi în scopul atragerii investiţiilor profitabile pentru comunităţile locale;</w:t>
      </w:r>
    </w:p>
    <w:p w:rsidR="00BB6DF2" w:rsidRPr="006D0A65" w:rsidRDefault="00BB6DF2" w:rsidP="006D0A65">
      <w:pPr>
        <w:ind w:left="360"/>
        <w:jc w:val="both"/>
        <w:rPr>
          <w:color w:val="000000"/>
          <w:sz w:val="28"/>
          <w:szCs w:val="28"/>
        </w:rPr>
      </w:pPr>
      <w:r>
        <w:rPr>
          <w:color w:val="000000"/>
          <w:sz w:val="28"/>
          <w:szCs w:val="28"/>
        </w:rPr>
        <w:t xml:space="preserve">- </w:t>
      </w:r>
      <w:r w:rsidRPr="006D0A65">
        <w:rPr>
          <w:color w:val="000000"/>
          <w:sz w:val="28"/>
          <w:szCs w:val="28"/>
        </w:rPr>
        <w:t>dezvoltarea durabilă a serviciilor;</w:t>
      </w:r>
    </w:p>
    <w:p w:rsidR="00BB6DF2" w:rsidRPr="006D0A65" w:rsidRDefault="00BB6DF2" w:rsidP="006D0A65">
      <w:pPr>
        <w:ind w:left="360"/>
        <w:jc w:val="both"/>
        <w:rPr>
          <w:color w:val="000000"/>
          <w:sz w:val="28"/>
          <w:szCs w:val="28"/>
        </w:rPr>
      </w:pPr>
      <w:r>
        <w:rPr>
          <w:color w:val="000000"/>
          <w:sz w:val="28"/>
          <w:szCs w:val="28"/>
        </w:rPr>
        <w:t xml:space="preserve">- </w:t>
      </w:r>
      <w:r w:rsidRPr="006D0A65">
        <w:rPr>
          <w:color w:val="000000"/>
          <w:sz w:val="28"/>
          <w:szCs w:val="28"/>
        </w:rPr>
        <w:t>protecţia mediului înconjurător.</w:t>
      </w:r>
    </w:p>
    <w:p w:rsidR="00BB6DF2" w:rsidRPr="006D0A65" w:rsidRDefault="00BB6DF2" w:rsidP="009138F5">
      <w:pPr>
        <w:jc w:val="both"/>
        <w:rPr>
          <w:color w:val="000000"/>
          <w:sz w:val="28"/>
          <w:szCs w:val="28"/>
        </w:rPr>
      </w:pPr>
    </w:p>
    <w:p w:rsidR="00BB6DF2" w:rsidRPr="006D0A65" w:rsidRDefault="00BB6DF2" w:rsidP="006D0A65">
      <w:pPr>
        <w:numPr>
          <w:ilvl w:val="0"/>
          <w:numId w:val="1"/>
        </w:numPr>
        <w:jc w:val="center"/>
        <w:rPr>
          <w:b/>
          <w:bCs/>
          <w:color w:val="000000"/>
          <w:sz w:val="28"/>
          <w:szCs w:val="28"/>
        </w:rPr>
      </w:pPr>
      <w:r w:rsidRPr="006D0A65">
        <w:rPr>
          <w:b/>
          <w:bCs/>
          <w:color w:val="000000"/>
          <w:sz w:val="28"/>
          <w:szCs w:val="28"/>
        </w:rPr>
        <w:t>Descrierea serviciului public de salubrizare</w:t>
      </w:r>
    </w:p>
    <w:p w:rsidR="00BB6DF2" w:rsidRPr="006D0A65" w:rsidRDefault="00BB6DF2" w:rsidP="009138F5">
      <w:pPr>
        <w:jc w:val="both"/>
        <w:rPr>
          <w:color w:val="000000"/>
          <w:sz w:val="28"/>
          <w:szCs w:val="28"/>
        </w:rPr>
      </w:pP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Obiectul concesionării îl reprezintă serviciul public de salubrizare al</w:t>
      </w:r>
      <w:r w:rsidRPr="006D0A65">
        <w:rPr>
          <w:sz w:val="28"/>
          <w:szCs w:val="28"/>
        </w:rPr>
        <w:t xml:space="preserve"> comunei </w:t>
      </w:r>
      <w:r>
        <w:rPr>
          <w:sz w:val="28"/>
          <w:szCs w:val="28"/>
        </w:rPr>
        <w:t>Tinosu</w:t>
      </w:r>
      <w:r w:rsidRPr="006D0A65">
        <w:rPr>
          <w:color w:val="000000"/>
          <w:sz w:val="28"/>
          <w:szCs w:val="28"/>
        </w:rPr>
        <w:t>.</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Serviciul public de salubrizare al </w:t>
      </w:r>
      <w:r w:rsidRPr="006D0A65">
        <w:rPr>
          <w:sz w:val="28"/>
          <w:szCs w:val="28"/>
        </w:rPr>
        <w:t xml:space="preserve">comunei </w:t>
      </w:r>
      <w:r>
        <w:rPr>
          <w:sz w:val="28"/>
          <w:szCs w:val="28"/>
        </w:rPr>
        <w:t>Tinosu</w:t>
      </w:r>
      <w:r w:rsidRPr="006D0A65">
        <w:rPr>
          <w:sz w:val="28"/>
          <w:szCs w:val="28"/>
        </w:rPr>
        <w:t xml:space="preserve"> </w:t>
      </w:r>
      <w:r w:rsidRPr="006D0A65">
        <w:rPr>
          <w:color w:val="000000"/>
          <w:sz w:val="28"/>
          <w:szCs w:val="28"/>
        </w:rPr>
        <w:t>cuprinde următoarele activităţi :</w:t>
      </w:r>
    </w:p>
    <w:p w:rsidR="00BB6DF2" w:rsidRPr="006D0A65" w:rsidRDefault="00BB6DF2" w:rsidP="006D0A65">
      <w:pPr>
        <w:ind w:firstLine="720"/>
        <w:jc w:val="both"/>
        <w:rPr>
          <w:sz w:val="28"/>
          <w:szCs w:val="28"/>
        </w:rPr>
      </w:pPr>
      <w:r>
        <w:rPr>
          <w:sz w:val="28"/>
          <w:szCs w:val="28"/>
        </w:rPr>
        <w:t xml:space="preserve">- </w:t>
      </w:r>
      <w:r w:rsidRPr="006D0A65">
        <w:rPr>
          <w:sz w:val="28"/>
          <w:szCs w:val="28"/>
        </w:rPr>
        <w:t xml:space="preserve">precolectarea, colectarea şi transportul deşeurilor municipale, inclusiv a deşeurilor toxice periculoase din deşeurile municipale, cu excepţia celor cu regim special din aria administrativ teritorială a comunei </w:t>
      </w:r>
      <w:r>
        <w:rPr>
          <w:sz w:val="28"/>
          <w:szCs w:val="28"/>
        </w:rPr>
        <w:t>Tinosu</w:t>
      </w:r>
      <w:r w:rsidRPr="006D0A65">
        <w:rPr>
          <w:sz w:val="28"/>
          <w:szCs w:val="28"/>
        </w:rPr>
        <w:t>;</w:t>
      </w:r>
    </w:p>
    <w:p w:rsidR="00BB6DF2" w:rsidRPr="006D0A65" w:rsidRDefault="00BB6DF2" w:rsidP="009138F5">
      <w:pPr>
        <w:jc w:val="both"/>
        <w:rPr>
          <w:color w:val="FF6600"/>
          <w:sz w:val="28"/>
          <w:szCs w:val="28"/>
        </w:rPr>
      </w:pPr>
      <w:r w:rsidRPr="006D0A65">
        <w:rPr>
          <w:color w:val="FF6600"/>
          <w:sz w:val="28"/>
          <w:szCs w:val="28"/>
        </w:rPr>
        <w:t xml:space="preserve">       </w:t>
      </w:r>
      <w:r>
        <w:rPr>
          <w:color w:val="FF6600"/>
          <w:sz w:val="28"/>
          <w:szCs w:val="28"/>
        </w:rPr>
        <w:tab/>
      </w:r>
      <w:r w:rsidRPr="006D0A65">
        <w:rPr>
          <w:color w:val="000000"/>
          <w:sz w:val="28"/>
          <w:szCs w:val="28"/>
        </w:rPr>
        <w:t>Precolectarea deşeurilor municipale şi a celor asimilate acestora se face de către persoane fizice, agenţii economici şi instituţiile publice, utilizându-se pentru aceasta recipente corespunzătoare desfăşurării activităţii</w:t>
      </w:r>
      <w:r w:rsidRPr="006D0A65">
        <w:rPr>
          <w:color w:val="FF6600"/>
          <w:sz w:val="28"/>
          <w:szCs w:val="28"/>
        </w:rPr>
        <w:t>.</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Având în vedere necesitatea alinierii la directivele Uniunii Europene privind condiţiile de precolectare a deşeurilor municipale, ofertanţii vor fi condiţionaţi prin caietul de sarcini să prezinte programul propriu de dotare tehnico-materială şi termenele implementării colectarii selective a deşeurilor municipale.</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Colectarea deşeurilor municipale se face de către operatorul de salubritate, conform programelor prestabilite, ţinând cont de nevoile populaţiei, ale agenţilor economici şi ale instituţ</w:t>
      </w:r>
      <w:r>
        <w:rPr>
          <w:color w:val="000000"/>
          <w:sz w:val="28"/>
          <w:szCs w:val="28"/>
        </w:rPr>
        <w:t>i</w:t>
      </w:r>
      <w:r w:rsidRPr="006D0A65">
        <w:rPr>
          <w:color w:val="000000"/>
          <w:sz w:val="28"/>
          <w:szCs w:val="28"/>
        </w:rPr>
        <w:t>ilor. Operatorul îşi va dimensiona baza tehnico-materială şi structura de personal în funcţie de necesitatea acestor categorii de utilizatori, astfel încât să se asigure prestarea unui serviciu de salubri</w:t>
      </w:r>
      <w:r>
        <w:rPr>
          <w:color w:val="000000"/>
          <w:sz w:val="28"/>
          <w:szCs w:val="28"/>
        </w:rPr>
        <w:t>z</w:t>
      </w:r>
      <w:r w:rsidRPr="006D0A65">
        <w:rPr>
          <w:color w:val="000000"/>
          <w:sz w:val="28"/>
          <w:szCs w:val="28"/>
        </w:rPr>
        <w:t xml:space="preserve">are la un nivel calitativ şi cantitativ superior celui existent în prezent. În acest sens autoritatea administraţiei publice locale, </w:t>
      </w:r>
      <w:r w:rsidRPr="006D0A65">
        <w:rPr>
          <w:sz w:val="28"/>
          <w:szCs w:val="28"/>
        </w:rPr>
        <w:t xml:space="preserve">comuna </w:t>
      </w:r>
      <w:r>
        <w:rPr>
          <w:sz w:val="28"/>
          <w:szCs w:val="28"/>
        </w:rPr>
        <w:t>Tinosu,</w:t>
      </w:r>
      <w:r w:rsidRPr="006D0A65">
        <w:rPr>
          <w:sz w:val="28"/>
          <w:szCs w:val="28"/>
        </w:rPr>
        <w:t xml:space="preserve"> </w:t>
      </w:r>
      <w:r w:rsidRPr="006D0A65">
        <w:rPr>
          <w:color w:val="000000"/>
          <w:sz w:val="28"/>
          <w:szCs w:val="28"/>
        </w:rPr>
        <w:t>va monitoriza în permanenţă modul de desfăşurare a serviciului de către operator.</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Transportul deşeurilor municipale se face tot de către operatorul de salubritate, cu mijloace de colectare şi transport adecvate tipului de recipiente utilizate, în condiţii maxime de curăţenie şi igienă. Deşeurile municipale, după colectare se </w:t>
      </w:r>
      <w:r w:rsidRPr="006D0A65">
        <w:rPr>
          <w:sz w:val="28"/>
          <w:szCs w:val="28"/>
        </w:rPr>
        <w:t xml:space="preserve">depozitează la </w:t>
      </w:r>
      <w:r>
        <w:rPr>
          <w:sz w:val="28"/>
          <w:szCs w:val="28"/>
        </w:rPr>
        <w:t>un depozit ecologic licențiat în acest sens</w:t>
      </w:r>
      <w:r w:rsidRPr="006D0A65">
        <w:rPr>
          <w:sz w:val="28"/>
          <w:szCs w:val="28"/>
        </w:rPr>
        <w:t>.</w:t>
      </w:r>
      <w:r w:rsidRPr="006D0A65">
        <w:rPr>
          <w:color w:val="000000"/>
          <w:sz w:val="28"/>
          <w:szCs w:val="28"/>
        </w:rPr>
        <w:t xml:space="preserve"> De asemenea, operatorul va implementa modalitatea proprie a precolectării selective a deşeurilor municipale, prin dotarea utilizatorilor cu recipiente adecvate acestor tipuri de deşeuri reciclabile, urmând ca apoi acestea să fie valorificate conform legii. </w:t>
      </w:r>
    </w:p>
    <w:p w:rsidR="00BB6DF2" w:rsidRPr="006D0A65" w:rsidRDefault="00BB6DF2" w:rsidP="009138F5">
      <w:pPr>
        <w:jc w:val="both"/>
        <w:rPr>
          <w:color w:val="000000"/>
          <w:sz w:val="28"/>
          <w:szCs w:val="28"/>
        </w:rPr>
      </w:pPr>
    </w:p>
    <w:p w:rsidR="00BB6DF2" w:rsidRPr="006D0A65" w:rsidRDefault="00BB6DF2" w:rsidP="009138F5">
      <w:pPr>
        <w:jc w:val="both"/>
        <w:rPr>
          <w:color w:val="000000"/>
          <w:sz w:val="28"/>
          <w:szCs w:val="28"/>
        </w:rPr>
      </w:pPr>
    </w:p>
    <w:p w:rsidR="00BB6DF2" w:rsidRPr="006D0A65" w:rsidRDefault="00BB6DF2" w:rsidP="006D0A65">
      <w:pPr>
        <w:numPr>
          <w:ilvl w:val="0"/>
          <w:numId w:val="1"/>
        </w:numPr>
        <w:jc w:val="center"/>
        <w:rPr>
          <w:b/>
          <w:bCs/>
          <w:color w:val="000000"/>
          <w:sz w:val="28"/>
          <w:szCs w:val="28"/>
        </w:rPr>
      </w:pPr>
      <w:r w:rsidRPr="006D0A65">
        <w:rPr>
          <w:b/>
          <w:bCs/>
          <w:color w:val="000000"/>
          <w:sz w:val="28"/>
          <w:szCs w:val="28"/>
        </w:rPr>
        <w:t>Motivele care justifică delegarea concesiunii- art 9-11 din HG</w:t>
      </w:r>
      <w:r>
        <w:rPr>
          <w:b/>
          <w:bCs/>
          <w:color w:val="000000"/>
          <w:sz w:val="28"/>
          <w:szCs w:val="28"/>
        </w:rPr>
        <w:t>R nr.</w:t>
      </w:r>
      <w:r w:rsidRPr="006D0A65">
        <w:rPr>
          <w:b/>
          <w:bCs/>
          <w:color w:val="000000"/>
          <w:sz w:val="28"/>
          <w:szCs w:val="28"/>
        </w:rPr>
        <w:t xml:space="preserve"> 71/2006</w:t>
      </w:r>
    </w:p>
    <w:p w:rsidR="00BB6DF2" w:rsidRPr="006D0A65" w:rsidRDefault="00BB6DF2" w:rsidP="009138F5">
      <w:pPr>
        <w:jc w:val="both"/>
        <w:rPr>
          <w:b/>
          <w:bCs/>
          <w:color w:val="000000"/>
          <w:sz w:val="28"/>
          <w:szCs w:val="28"/>
        </w:rPr>
      </w:pPr>
    </w:p>
    <w:p w:rsidR="00BB6DF2" w:rsidRPr="006D0A65" w:rsidRDefault="00BB6DF2" w:rsidP="006D0A65">
      <w:pPr>
        <w:ind w:firstLine="360"/>
        <w:jc w:val="both"/>
        <w:rPr>
          <w:color w:val="000000"/>
          <w:sz w:val="28"/>
          <w:szCs w:val="28"/>
          <w:u w:val="single"/>
        </w:rPr>
      </w:pPr>
      <w:r w:rsidRPr="006D0A65">
        <w:rPr>
          <w:i/>
          <w:iCs/>
          <w:color w:val="000000"/>
          <w:sz w:val="28"/>
          <w:szCs w:val="28"/>
          <w:u w:val="single"/>
        </w:rPr>
        <w:t>3.1</w:t>
      </w:r>
      <w:r w:rsidRPr="006D0A65">
        <w:rPr>
          <w:color w:val="000000"/>
          <w:sz w:val="28"/>
          <w:szCs w:val="28"/>
          <w:u w:val="single"/>
        </w:rPr>
        <w:t xml:space="preserve">. </w:t>
      </w:r>
      <w:r w:rsidRPr="006D0A65">
        <w:rPr>
          <w:i/>
          <w:iCs/>
          <w:color w:val="000000"/>
          <w:sz w:val="28"/>
          <w:szCs w:val="28"/>
          <w:u w:val="single"/>
        </w:rPr>
        <w:t>Motive de ordin economic</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Gestiunea directă a serviciilor publice de salubritate presupune asumarea nemijlocită a tuturor sarcinilor şi responsabilităţilor privind organizarea, conducerea, administrarea şi gestionarea acestor servicii. </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t>C</w:t>
      </w:r>
      <w:r w:rsidRPr="006D0A65">
        <w:rPr>
          <w:sz w:val="28"/>
          <w:szCs w:val="28"/>
        </w:rPr>
        <w:t xml:space="preserve">omuna </w:t>
      </w:r>
      <w:r>
        <w:rPr>
          <w:sz w:val="28"/>
          <w:szCs w:val="28"/>
        </w:rPr>
        <w:t>Tinosu</w:t>
      </w:r>
      <w:r w:rsidRPr="006D0A65">
        <w:rPr>
          <w:sz w:val="28"/>
          <w:szCs w:val="28"/>
        </w:rPr>
        <w:t xml:space="preserve"> </w:t>
      </w:r>
      <w:r>
        <w:rPr>
          <w:color w:val="000000"/>
          <w:sz w:val="28"/>
          <w:szCs w:val="28"/>
        </w:rPr>
        <w:t>nu dispune de dotările</w:t>
      </w:r>
      <w:r w:rsidRPr="006D0A65">
        <w:rPr>
          <w:color w:val="000000"/>
          <w:sz w:val="28"/>
          <w:szCs w:val="28"/>
        </w:rPr>
        <w:t xml:space="preserve"> corespunzătoare pentru a asigura servicii de salubritate corespunzătoare.</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Fondurile necesare pentru asigurarea unei dotări corespunzătoare şi a unor servicii de calitate sunt prea mari pentru a fi alocate din bugetul local, astfel încât este mai rentabilă delegarea gestiunii pentru aceste servicii de salubritate.</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Calitatea serviciilor de salubritate, asigurată printr-o dotare corespunzătoare şi un management bun, influenţează satisfacerea cerinţelor cetăţenilor, ale instituţiilor publice şi ale agenţilor economici. Aşadar</w:t>
      </w:r>
      <w:r>
        <w:rPr>
          <w:color w:val="000000"/>
          <w:sz w:val="28"/>
          <w:szCs w:val="28"/>
        </w:rPr>
        <w:t>,</w:t>
      </w:r>
      <w:r w:rsidRPr="006D0A65">
        <w:rPr>
          <w:color w:val="000000"/>
          <w:sz w:val="28"/>
          <w:szCs w:val="28"/>
        </w:rPr>
        <w:t xml:space="preserve"> oferirea unor servicii de calitate are un puternic impact social, influenţând pozitiv întreaga comunitate.</w:t>
      </w:r>
    </w:p>
    <w:p w:rsidR="00BB6DF2" w:rsidRPr="00C3022D" w:rsidRDefault="00BB6DF2" w:rsidP="009138F5">
      <w:pPr>
        <w:jc w:val="both"/>
        <w:rPr>
          <w:sz w:val="28"/>
          <w:szCs w:val="28"/>
        </w:rPr>
      </w:pPr>
      <w:r w:rsidRPr="006D0A65">
        <w:rPr>
          <w:color w:val="000000"/>
          <w:sz w:val="28"/>
          <w:szCs w:val="28"/>
        </w:rPr>
        <w:t xml:space="preserve">       </w:t>
      </w:r>
      <w:r>
        <w:rPr>
          <w:color w:val="000000"/>
          <w:sz w:val="28"/>
          <w:szCs w:val="28"/>
        </w:rPr>
        <w:tab/>
      </w:r>
      <w:r w:rsidRPr="00C3022D">
        <w:rPr>
          <w:sz w:val="28"/>
          <w:szCs w:val="28"/>
        </w:rPr>
        <w:t>Dezvoltarea durabilă este, prin definiţie, acea dezvoltare care asigură cadrul necesar unui confort oprim generaţiei prezente, dar şi posibilitatea generaţiilor viitoare de a evolua şi de a trăi într-un mediu curat. Acesta este un motiv în plus pentru a acorda atenţia cuvenită activităţilor de salubrizare a localităţii.</w:t>
      </w:r>
    </w:p>
    <w:p w:rsidR="00BB6DF2" w:rsidRPr="006D0A65" w:rsidRDefault="00BB6DF2" w:rsidP="009138F5">
      <w:pPr>
        <w:jc w:val="both"/>
        <w:rPr>
          <w:color w:val="000000"/>
          <w:sz w:val="28"/>
          <w:szCs w:val="28"/>
        </w:rPr>
      </w:pPr>
      <w:r w:rsidRPr="00C3022D">
        <w:rPr>
          <w:sz w:val="28"/>
          <w:szCs w:val="28"/>
        </w:rPr>
        <w:t xml:space="preserve">       </w:t>
      </w:r>
      <w:r w:rsidRPr="00C3022D">
        <w:rPr>
          <w:sz w:val="28"/>
          <w:szCs w:val="28"/>
        </w:rPr>
        <w:tab/>
        <w:t>Prin concesionarea serviciului public de salubrizare a comunei</w:t>
      </w:r>
      <w:r w:rsidRPr="006D0A65">
        <w:rPr>
          <w:sz w:val="28"/>
          <w:szCs w:val="28"/>
        </w:rPr>
        <w:t xml:space="preserve"> </w:t>
      </w:r>
      <w:r>
        <w:rPr>
          <w:sz w:val="28"/>
          <w:szCs w:val="28"/>
        </w:rPr>
        <w:t>Tinosu</w:t>
      </w:r>
      <w:r w:rsidRPr="006D0A65">
        <w:rPr>
          <w:color w:val="000000"/>
          <w:sz w:val="28"/>
          <w:szCs w:val="28"/>
        </w:rPr>
        <w:t xml:space="preserve">, tariful prestării serviciului va fi colectat şi încasat direct de către operator, de la utilizatori, în baza contractelor de prestare a serviciului, atât de la populaţie - persoane fizice, cât şi de la agenţii economici şi instituţii publice. În acest sens </w:t>
      </w:r>
      <w:r w:rsidRPr="006D0A65">
        <w:rPr>
          <w:sz w:val="28"/>
          <w:szCs w:val="28"/>
        </w:rPr>
        <w:t xml:space="preserve">comuna </w:t>
      </w:r>
      <w:r>
        <w:rPr>
          <w:sz w:val="28"/>
          <w:szCs w:val="28"/>
        </w:rPr>
        <w:t>Tinosu</w:t>
      </w:r>
      <w:r w:rsidRPr="006D0A65">
        <w:rPr>
          <w:sz w:val="28"/>
          <w:szCs w:val="28"/>
        </w:rPr>
        <w:t xml:space="preserve"> </w:t>
      </w:r>
      <w:r w:rsidRPr="006D0A65">
        <w:rPr>
          <w:color w:val="000000"/>
          <w:sz w:val="28"/>
          <w:szCs w:val="28"/>
        </w:rPr>
        <w:t>nu va mai înregistra costuri legate de contractarea serviciului, de facturarea lui, de distribuirea facturilor, de încasarea acestora, de comisioanele bancare aferente acestora, etc.</w:t>
      </w:r>
    </w:p>
    <w:p w:rsidR="00BB6DF2" w:rsidRPr="006D0A65" w:rsidRDefault="00BB6DF2" w:rsidP="009138F5">
      <w:pPr>
        <w:jc w:val="both"/>
        <w:rPr>
          <w:color w:val="000000"/>
          <w:sz w:val="28"/>
          <w:szCs w:val="28"/>
        </w:rPr>
      </w:pPr>
      <w:r w:rsidRPr="006D0A65">
        <w:rPr>
          <w:color w:val="000000"/>
          <w:sz w:val="28"/>
          <w:szCs w:val="28"/>
        </w:rPr>
        <w:t xml:space="preserve">        Criteriu</w:t>
      </w:r>
      <w:r>
        <w:rPr>
          <w:color w:val="000000"/>
          <w:sz w:val="28"/>
          <w:szCs w:val="28"/>
        </w:rPr>
        <w:t>l</w:t>
      </w:r>
      <w:r w:rsidRPr="006D0A65">
        <w:rPr>
          <w:color w:val="000000"/>
          <w:sz w:val="28"/>
          <w:szCs w:val="28"/>
        </w:rPr>
        <w:t xml:space="preserve"> de selecţie al operatorului  serviciului de salubrizare va fi „oferta cea mai avantajoasa din punct de vedere economic</w:t>
      </w:r>
      <w:r w:rsidRPr="006D0A65">
        <w:rPr>
          <w:b/>
          <w:bCs/>
          <w:color w:val="000000"/>
          <w:sz w:val="28"/>
          <w:szCs w:val="28"/>
        </w:rPr>
        <w:t xml:space="preserve">” </w:t>
      </w:r>
      <w:r w:rsidRPr="006D0A65">
        <w:rPr>
          <w:color w:val="000000"/>
          <w:sz w:val="28"/>
          <w:szCs w:val="28"/>
        </w:rPr>
        <w:t>care se v</w:t>
      </w:r>
      <w:r>
        <w:rPr>
          <w:color w:val="000000"/>
          <w:sz w:val="28"/>
          <w:szCs w:val="28"/>
        </w:rPr>
        <w:t>a</w:t>
      </w:r>
      <w:r w:rsidRPr="006D0A65">
        <w:rPr>
          <w:color w:val="000000"/>
          <w:sz w:val="28"/>
          <w:szCs w:val="28"/>
        </w:rPr>
        <w:t xml:space="preserve"> depune în vederea concesionării serviciului public de salubrizare a</w:t>
      </w:r>
      <w:r w:rsidRPr="006D0A65">
        <w:rPr>
          <w:sz w:val="28"/>
          <w:szCs w:val="28"/>
        </w:rPr>
        <w:t xml:space="preserve"> comunei </w:t>
      </w:r>
      <w:r>
        <w:rPr>
          <w:sz w:val="28"/>
          <w:szCs w:val="28"/>
        </w:rPr>
        <w:t>Tinosu</w:t>
      </w:r>
      <w:r w:rsidRPr="006D0A65">
        <w:rPr>
          <w:color w:val="000000"/>
          <w:sz w:val="28"/>
          <w:szCs w:val="28"/>
        </w:rPr>
        <w:t>, respectiv a activităţilor de precole</w:t>
      </w:r>
      <w:r>
        <w:rPr>
          <w:color w:val="000000"/>
          <w:sz w:val="28"/>
          <w:szCs w:val="28"/>
        </w:rPr>
        <w:t>ctare, colectare şi transport a</w:t>
      </w:r>
      <w:r w:rsidRPr="006D0A65">
        <w:rPr>
          <w:color w:val="000000"/>
          <w:sz w:val="28"/>
          <w:szCs w:val="28"/>
        </w:rPr>
        <w:t xml:space="preserve"> deşeurilor municipale. </w:t>
      </w:r>
    </w:p>
    <w:p w:rsidR="00BB6DF2" w:rsidRPr="006D0A65" w:rsidRDefault="00BB6DF2" w:rsidP="009138F5">
      <w:pPr>
        <w:jc w:val="both"/>
        <w:rPr>
          <w:i/>
          <w:iCs/>
          <w:color w:val="000000"/>
          <w:sz w:val="28"/>
          <w:szCs w:val="28"/>
          <w:u w:val="single"/>
        </w:rPr>
      </w:pPr>
    </w:p>
    <w:p w:rsidR="00BB6DF2" w:rsidRPr="006D0A65" w:rsidRDefault="00BB6DF2" w:rsidP="009138F5">
      <w:pPr>
        <w:numPr>
          <w:ilvl w:val="1"/>
          <w:numId w:val="1"/>
        </w:numPr>
        <w:jc w:val="both"/>
        <w:rPr>
          <w:i/>
          <w:iCs/>
          <w:color w:val="000000"/>
          <w:sz w:val="28"/>
          <w:szCs w:val="28"/>
          <w:u w:val="single"/>
        </w:rPr>
      </w:pPr>
      <w:r w:rsidRPr="006D0A65">
        <w:rPr>
          <w:i/>
          <w:iCs/>
          <w:color w:val="000000"/>
          <w:sz w:val="28"/>
          <w:szCs w:val="28"/>
          <w:u w:val="single"/>
        </w:rPr>
        <w:t>Motive de ordin financiar</w:t>
      </w:r>
    </w:p>
    <w:p w:rsidR="00BB6DF2" w:rsidRPr="006D0A65" w:rsidRDefault="00BB6DF2" w:rsidP="009138F5">
      <w:pPr>
        <w:jc w:val="both"/>
        <w:rPr>
          <w:color w:val="000000"/>
          <w:sz w:val="28"/>
          <w:szCs w:val="28"/>
        </w:rPr>
      </w:pPr>
      <w:r w:rsidRPr="006D0A65">
        <w:rPr>
          <w:color w:val="000000"/>
          <w:sz w:val="28"/>
          <w:szCs w:val="28"/>
        </w:rPr>
        <w:t xml:space="preserve">     Prin concesionarea serviciului public de salubrizare al</w:t>
      </w:r>
      <w:r w:rsidRPr="006D0A65">
        <w:rPr>
          <w:sz w:val="28"/>
          <w:szCs w:val="28"/>
        </w:rPr>
        <w:t xml:space="preserve"> comunei </w:t>
      </w:r>
      <w:r>
        <w:rPr>
          <w:sz w:val="28"/>
          <w:szCs w:val="28"/>
        </w:rPr>
        <w:t>Tinosu</w:t>
      </w:r>
      <w:r w:rsidRPr="006D0A65">
        <w:rPr>
          <w:color w:val="000000"/>
          <w:sz w:val="28"/>
          <w:szCs w:val="28"/>
        </w:rPr>
        <w:t>, dotarea tehnică necesară desfăşurării serviciului se va asigura prin investiţii proprii de către operatorul care va câştiga procedura de atribuire prin concesiune a serviciului.</w:t>
      </w:r>
    </w:p>
    <w:p w:rsidR="00BB6DF2" w:rsidRPr="006D0A65" w:rsidRDefault="00BB6DF2" w:rsidP="009138F5">
      <w:pPr>
        <w:jc w:val="both"/>
        <w:rPr>
          <w:color w:val="000000"/>
          <w:sz w:val="28"/>
          <w:szCs w:val="28"/>
        </w:rPr>
      </w:pPr>
    </w:p>
    <w:p w:rsidR="00BB6DF2" w:rsidRPr="006D0A65" w:rsidRDefault="00BB6DF2" w:rsidP="009138F5">
      <w:pPr>
        <w:numPr>
          <w:ilvl w:val="1"/>
          <w:numId w:val="1"/>
        </w:numPr>
        <w:jc w:val="both"/>
        <w:rPr>
          <w:i/>
          <w:iCs/>
          <w:color w:val="000000"/>
          <w:sz w:val="28"/>
          <w:szCs w:val="28"/>
          <w:u w:val="single"/>
        </w:rPr>
      </w:pPr>
      <w:r w:rsidRPr="006D0A65">
        <w:rPr>
          <w:i/>
          <w:iCs/>
          <w:color w:val="000000"/>
          <w:sz w:val="28"/>
          <w:szCs w:val="28"/>
          <w:u w:val="single"/>
        </w:rPr>
        <w:t>Motive de ordin social şi de mediu</w:t>
      </w:r>
    </w:p>
    <w:p w:rsidR="00BB6DF2" w:rsidRPr="006D0A65" w:rsidRDefault="00BB6DF2" w:rsidP="009138F5">
      <w:pPr>
        <w:jc w:val="both"/>
        <w:rPr>
          <w:color w:val="000000"/>
          <w:sz w:val="28"/>
          <w:szCs w:val="28"/>
        </w:rPr>
      </w:pPr>
      <w:r w:rsidRPr="006D0A65">
        <w:rPr>
          <w:color w:val="000000"/>
          <w:sz w:val="28"/>
          <w:szCs w:val="28"/>
        </w:rPr>
        <w:t xml:space="preserve">     Având în vedere prevederile OUG nr. 195/2005, republicată, privind protecţia mediului, cu modificarile si completarile ulterioare, autorităţile administraţiei publice locale au importante responsabilităţi şi obligaţii pentru asigurarea unui mediu sănătos pentru toţi cetăţenii comunităţii.</w:t>
      </w:r>
    </w:p>
    <w:p w:rsidR="00BB6DF2" w:rsidRPr="006D0A65" w:rsidRDefault="00BB6DF2" w:rsidP="009138F5">
      <w:pPr>
        <w:jc w:val="both"/>
        <w:rPr>
          <w:color w:val="000000"/>
          <w:sz w:val="28"/>
          <w:szCs w:val="28"/>
        </w:rPr>
      </w:pPr>
      <w:r w:rsidRPr="006D0A65">
        <w:rPr>
          <w:color w:val="000000"/>
          <w:sz w:val="28"/>
          <w:szCs w:val="28"/>
        </w:rPr>
        <w:t xml:space="preserve">    În desfăşurarea serviciului public de salubrizare a localitaţilor este obligatorie respectarea principiilor ecologice, pentru asigurare unui mediu de viaţă sănătos.</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În acest scop, consiliile locale, persoanele fizice şi juridice răspund pentru:</w:t>
      </w:r>
    </w:p>
    <w:p w:rsidR="00BB6DF2" w:rsidRDefault="00BB6DF2" w:rsidP="002E21F6">
      <w:pPr>
        <w:numPr>
          <w:ilvl w:val="0"/>
          <w:numId w:val="2"/>
        </w:numPr>
        <w:jc w:val="both"/>
        <w:rPr>
          <w:color w:val="000000"/>
          <w:sz w:val="28"/>
          <w:szCs w:val="28"/>
        </w:rPr>
      </w:pPr>
      <w:r w:rsidRPr="006D0A65">
        <w:rPr>
          <w:color w:val="000000"/>
          <w:sz w:val="28"/>
          <w:szCs w:val="28"/>
        </w:rPr>
        <w:t>îmbunătăţirea microclimatului, înfrumuseţarea şi protecţia peisajului şi menţinerea curăţeniei;</w:t>
      </w:r>
    </w:p>
    <w:p w:rsidR="00BB6DF2" w:rsidRDefault="00BB6DF2" w:rsidP="002E21F6">
      <w:pPr>
        <w:numPr>
          <w:ilvl w:val="0"/>
          <w:numId w:val="2"/>
        </w:numPr>
        <w:jc w:val="both"/>
        <w:rPr>
          <w:color w:val="000000"/>
          <w:sz w:val="28"/>
          <w:szCs w:val="28"/>
        </w:rPr>
      </w:pPr>
      <w:r w:rsidRPr="006D0A65">
        <w:rPr>
          <w:color w:val="000000"/>
          <w:sz w:val="28"/>
          <w:szCs w:val="28"/>
        </w:rPr>
        <w:t>amplasarea obiectivelor industriale, a căilor şi mijloacelor de transport, a reţelelor de canalizare şi a altor obiective şi activităţi, fără a prejudicia salubritatea, ambientul, spaţiile de odihnă şi recreere, starea de sănătate  şi de confort a populaţiei;</w:t>
      </w:r>
    </w:p>
    <w:p w:rsidR="00BB6DF2" w:rsidRPr="006D0A65" w:rsidRDefault="00BB6DF2" w:rsidP="002E21F6">
      <w:pPr>
        <w:ind w:firstLine="360"/>
        <w:jc w:val="both"/>
        <w:rPr>
          <w:color w:val="000000"/>
          <w:sz w:val="28"/>
          <w:szCs w:val="28"/>
        </w:rPr>
      </w:pPr>
      <w:r>
        <w:rPr>
          <w:color w:val="000000"/>
          <w:sz w:val="28"/>
          <w:szCs w:val="28"/>
        </w:rPr>
        <w:t xml:space="preserve">- </w:t>
      </w:r>
      <w:r w:rsidRPr="006D0A65">
        <w:rPr>
          <w:color w:val="000000"/>
          <w:sz w:val="28"/>
          <w:szCs w:val="28"/>
        </w:rPr>
        <w:t>adoptarea de măsuri obligatorii, pentru toate persoanele fizice şi juridice, cu privire la întreţinerea curţilor şi împrejurimilor acestora, a spaţiilor verzi din curţi şi dintre clădiri.</w:t>
      </w:r>
    </w:p>
    <w:p w:rsidR="00BB6DF2" w:rsidRPr="006D0A65" w:rsidRDefault="00BB6DF2" w:rsidP="009138F5">
      <w:pPr>
        <w:jc w:val="both"/>
        <w:rPr>
          <w:color w:val="000000"/>
          <w:sz w:val="28"/>
          <w:szCs w:val="28"/>
        </w:rPr>
      </w:pPr>
      <w:r>
        <w:rPr>
          <w:color w:val="000000"/>
          <w:sz w:val="28"/>
          <w:szCs w:val="28"/>
        </w:rPr>
        <w:t xml:space="preserve">     </w:t>
      </w:r>
      <w:r>
        <w:rPr>
          <w:color w:val="000000"/>
          <w:sz w:val="28"/>
          <w:szCs w:val="28"/>
        </w:rPr>
        <w:tab/>
      </w:r>
      <w:r w:rsidRPr="006D0A65">
        <w:rPr>
          <w:color w:val="000000"/>
          <w:sz w:val="28"/>
          <w:szCs w:val="28"/>
        </w:rPr>
        <w:t xml:space="preserve">Pentru crearea şi respectarea acestor condiţii, activitatea de salubrizare municipală implică cheltuieli importante din bugetul local, iar reglementările în vigoare presupun modernizarea lor şi realizarea de investiţii care nu pot fi suportate din bugetul local. </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În concluzie, se dovedeşte a fi necesară delegarea gestiunii serviciului public de salubrizare al </w:t>
      </w:r>
      <w:r w:rsidRPr="006D0A65">
        <w:rPr>
          <w:sz w:val="28"/>
          <w:szCs w:val="28"/>
        </w:rPr>
        <w:t xml:space="preserve">comunei </w:t>
      </w:r>
      <w:r>
        <w:rPr>
          <w:sz w:val="28"/>
          <w:szCs w:val="28"/>
        </w:rPr>
        <w:t xml:space="preserve">Tinosu </w:t>
      </w:r>
      <w:r w:rsidRPr="006D0A65">
        <w:rPr>
          <w:color w:val="000000"/>
          <w:sz w:val="28"/>
          <w:szCs w:val="28"/>
        </w:rPr>
        <w:t>către un operator licenţiat şi autorizat conform legislaţiei în vigoare privind delegarea gestiunii serviciilor de utilităţi publice.</w:t>
      </w:r>
    </w:p>
    <w:p w:rsidR="00BB6DF2" w:rsidRPr="006D0A65" w:rsidRDefault="00BB6DF2" w:rsidP="009138F5">
      <w:pPr>
        <w:jc w:val="both"/>
        <w:rPr>
          <w:color w:val="000000"/>
          <w:sz w:val="28"/>
          <w:szCs w:val="28"/>
        </w:rPr>
      </w:pPr>
    </w:p>
    <w:p w:rsidR="00BB6DF2" w:rsidRPr="006D0A65" w:rsidRDefault="00BB6DF2" w:rsidP="003126F1">
      <w:pPr>
        <w:jc w:val="center"/>
        <w:rPr>
          <w:b/>
          <w:bCs/>
          <w:color w:val="000000"/>
          <w:sz w:val="28"/>
          <w:szCs w:val="28"/>
        </w:rPr>
      </w:pPr>
      <w:r w:rsidRPr="006D0A65">
        <w:rPr>
          <w:b/>
          <w:bCs/>
          <w:color w:val="000000"/>
          <w:sz w:val="28"/>
          <w:szCs w:val="28"/>
        </w:rPr>
        <w:t>4. Investiţii necesare pentru modernizare</w:t>
      </w:r>
    </w:p>
    <w:p w:rsidR="00BB6DF2" w:rsidRPr="006D0A65" w:rsidRDefault="00BB6DF2" w:rsidP="009138F5">
      <w:pPr>
        <w:jc w:val="both"/>
        <w:rPr>
          <w:b/>
          <w:bCs/>
          <w:color w:val="000000"/>
          <w:sz w:val="28"/>
          <w:szCs w:val="28"/>
        </w:rPr>
      </w:pP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Activităţile cuprinse la pct.</w:t>
      </w:r>
      <w:r>
        <w:rPr>
          <w:color w:val="000000"/>
          <w:sz w:val="28"/>
          <w:szCs w:val="28"/>
        </w:rPr>
        <w:t xml:space="preserve"> </w:t>
      </w:r>
      <w:r w:rsidRPr="006D0A65">
        <w:rPr>
          <w:color w:val="000000"/>
          <w:sz w:val="28"/>
          <w:szCs w:val="28"/>
        </w:rPr>
        <w:t xml:space="preserve">2 din prezentul studiu se desfăşoară pe toată aria administrativ – teritorială </w:t>
      </w:r>
      <w:r>
        <w:rPr>
          <w:color w:val="000000"/>
          <w:sz w:val="28"/>
          <w:szCs w:val="28"/>
        </w:rPr>
        <w:t>comunei Tinosu.</w:t>
      </w:r>
    </w:p>
    <w:p w:rsidR="00BB6DF2" w:rsidRPr="006D0A65" w:rsidRDefault="00BB6DF2" w:rsidP="009138F5">
      <w:pPr>
        <w:jc w:val="both"/>
        <w:rPr>
          <w:sz w:val="28"/>
          <w:szCs w:val="28"/>
        </w:rPr>
      </w:pPr>
      <w:r w:rsidRPr="006D0A65">
        <w:rPr>
          <w:sz w:val="28"/>
          <w:szCs w:val="28"/>
        </w:rPr>
        <w:t xml:space="preserve">       </w:t>
      </w:r>
      <w:r>
        <w:rPr>
          <w:sz w:val="28"/>
          <w:szCs w:val="28"/>
        </w:rPr>
        <w:tab/>
      </w:r>
      <w:r w:rsidRPr="006D0A65">
        <w:rPr>
          <w:sz w:val="28"/>
          <w:szCs w:val="28"/>
        </w:rPr>
        <w:t xml:space="preserve">Beneficiarii finali ai serviciului de utilitate publică de salubrizare al Comunei </w:t>
      </w:r>
      <w:r>
        <w:rPr>
          <w:sz w:val="28"/>
          <w:szCs w:val="28"/>
        </w:rPr>
        <w:t>Tinosu</w:t>
      </w:r>
      <w:r w:rsidRPr="006D0A65">
        <w:rPr>
          <w:sz w:val="28"/>
          <w:szCs w:val="28"/>
        </w:rPr>
        <w:t xml:space="preserve">  sunt un număr de </w:t>
      </w:r>
      <w:r>
        <w:rPr>
          <w:sz w:val="28"/>
          <w:szCs w:val="28"/>
        </w:rPr>
        <w:t>2410</w:t>
      </w:r>
      <w:r w:rsidRPr="006D0A65">
        <w:rPr>
          <w:sz w:val="28"/>
          <w:szCs w:val="28"/>
        </w:rPr>
        <w:t xml:space="preserve">  locuitori din </w:t>
      </w:r>
      <w:r>
        <w:rPr>
          <w:sz w:val="28"/>
          <w:szCs w:val="28"/>
        </w:rPr>
        <w:t>804</w:t>
      </w:r>
      <w:r w:rsidRPr="006D0A65">
        <w:rPr>
          <w:sz w:val="28"/>
          <w:szCs w:val="28"/>
        </w:rPr>
        <w:t xml:space="preserve"> gospodării individuale, </w:t>
      </w:r>
      <w:r>
        <w:rPr>
          <w:sz w:val="28"/>
          <w:szCs w:val="28"/>
        </w:rPr>
        <w:t>18</w:t>
      </w:r>
      <w:r w:rsidRPr="006D0A65">
        <w:rPr>
          <w:sz w:val="28"/>
          <w:szCs w:val="28"/>
        </w:rPr>
        <w:t xml:space="preserve">  agenţi economici şi instituţii publice.</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În acest context, operatorul serviciului public de salubrizare al </w:t>
      </w:r>
      <w:r w:rsidRPr="006D0A65">
        <w:rPr>
          <w:sz w:val="28"/>
          <w:szCs w:val="28"/>
        </w:rPr>
        <w:t xml:space="preserve">comunei  </w:t>
      </w:r>
      <w:r>
        <w:rPr>
          <w:sz w:val="28"/>
          <w:szCs w:val="28"/>
        </w:rPr>
        <w:t>Tinosu</w:t>
      </w:r>
      <w:r w:rsidRPr="006D0A65">
        <w:rPr>
          <w:sz w:val="28"/>
          <w:szCs w:val="28"/>
        </w:rPr>
        <w:t xml:space="preserve"> </w:t>
      </w:r>
      <w:r w:rsidRPr="006D0A65">
        <w:rPr>
          <w:color w:val="000000"/>
          <w:sz w:val="28"/>
          <w:szCs w:val="28"/>
        </w:rPr>
        <w:t>trebuie să asigure o frecvenţă de ridicare a deşeurilor municipale corespunzătoare cu prevederile ordinului Ministrului Sănătăţii nr.</w:t>
      </w:r>
      <w:r>
        <w:rPr>
          <w:color w:val="000000"/>
          <w:sz w:val="28"/>
          <w:szCs w:val="28"/>
        </w:rPr>
        <w:t xml:space="preserve"> 119/2014</w:t>
      </w:r>
      <w:r w:rsidRPr="006D0A65">
        <w:rPr>
          <w:color w:val="000000"/>
          <w:sz w:val="28"/>
          <w:szCs w:val="28"/>
        </w:rPr>
        <w:t xml:space="preserve"> pentru aprobarea Normelor de igienă </w:t>
      </w:r>
      <w:r>
        <w:rPr>
          <w:color w:val="000000"/>
          <w:sz w:val="28"/>
          <w:szCs w:val="28"/>
        </w:rPr>
        <w:t xml:space="preserve">şi sănătate publică </w:t>
      </w:r>
      <w:r w:rsidRPr="006D0A65">
        <w:rPr>
          <w:color w:val="000000"/>
          <w:sz w:val="28"/>
          <w:szCs w:val="28"/>
        </w:rPr>
        <w:t>privind mediul de viaţă al populaţiei, iar în funcţie de cantitatea de deşeuri necesar a fi colectată, de gradul de compactare al utilajelor, de frecvenţa de transport, de volumul transportat de un utilaj, este, de asemenea, necesară dimensionarea parcului de utilaje ale operatorului care vor fi destinate activităţii de salubrizare a</w:t>
      </w:r>
      <w:r w:rsidRPr="006D0A65">
        <w:rPr>
          <w:sz w:val="28"/>
          <w:szCs w:val="28"/>
        </w:rPr>
        <w:t xml:space="preserve"> comunei </w:t>
      </w:r>
      <w:r>
        <w:rPr>
          <w:sz w:val="28"/>
          <w:szCs w:val="28"/>
        </w:rPr>
        <w:t>Tinosu</w:t>
      </w:r>
      <w:r w:rsidRPr="006D0A65">
        <w:rPr>
          <w:color w:val="000000"/>
          <w:sz w:val="28"/>
          <w:szCs w:val="28"/>
        </w:rPr>
        <w:t>.</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Dotarea cu utilaje performante şi personal calificat pentru această activitate, într-un număr care să asigure respectarea programului de colectare prevăzut în regulamentul propriu de organizare şi funcţionare a serviciului, aprobat de consiliul local, trebuie asigurată la intrarea în vigoare a contractului de concesiune.</w:t>
      </w:r>
    </w:p>
    <w:p w:rsidR="00BB6DF2" w:rsidRPr="006D0A65" w:rsidRDefault="00BB6DF2" w:rsidP="009138F5">
      <w:pPr>
        <w:jc w:val="both"/>
        <w:rPr>
          <w:sz w:val="28"/>
          <w:szCs w:val="28"/>
        </w:rPr>
      </w:pPr>
      <w:r w:rsidRPr="006D0A65">
        <w:rPr>
          <w:color w:val="000000"/>
          <w:sz w:val="28"/>
          <w:szCs w:val="28"/>
        </w:rPr>
        <w:t xml:space="preserve">      </w:t>
      </w:r>
      <w:r>
        <w:rPr>
          <w:color w:val="000000"/>
          <w:sz w:val="28"/>
          <w:szCs w:val="28"/>
        </w:rPr>
        <w:tab/>
      </w:r>
      <w:r w:rsidRPr="006D0A65">
        <w:rPr>
          <w:sz w:val="28"/>
          <w:szCs w:val="28"/>
        </w:rPr>
        <w:t>De asemenea, caietul de sarcini va impune concesionarului, ca în cadru</w:t>
      </w:r>
      <w:r>
        <w:rPr>
          <w:sz w:val="28"/>
          <w:szCs w:val="28"/>
        </w:rPr>
        <w:t>l</w:t>
      </w:r>
      <w:r w:rsidRPr="006D0A65">
        <w:rPr>
          <w:sz w:val="28"/>
          <w:szCs w:val="28"/>
        </w:rPr>
        <w:t xml:space="preserve"> programului de implementare a precolectării selective a deşeurilor, cerinţă impusă şi prin condiţiile de menţinere a licenţei</w:t>
      </w:r>
      <w:r>
        <w:rPr>
          <w:sz w:val="28"/>
          <w:szCs w:val="28"/>
        </w:rPr>
        <w:t>,</w:t>
      </w:r>
      <w:r w:rsidRPr="006D0A65">
        <w:rPr>
          <w:sz w:val="28"/>
          <w:szCs w:val="28"/>
        </w:rPr>
        <w:t xml:space="preserve"> să prezinte strategia proprie pe care se angajează să o implementeze pentru educarea şi conştientizarea serviciului public de salubritate din comuna </w:t>
      </w:r>
      <w:r>
        <w:rPr>
          <w:sz w:val="28"/>
          <w:szCs w:val="28"/>
        </w:rPr>
        <w:t>Tinosu</w:t>
      </w:r>
      <w:r w:rsidRPr="006D0A65">
        <w:rPr>
          <w:sz w:val="28"/>
          <w:szCs w:val="28"/>
        </w:rPr>
        <w:t xml:space="preserve"> privind necesitatea şi utilitatea precolectării selective a deşeurilor municipale.</w:t>
      </w:r>
    </w:p>
    <w:p w:rsidR="00BB6DF2" w:rsidRPr="006D0A65" w:rsidRDefault="00BB6DF2" w:rsidP="009138F5">
      <w:pPr>
        <w:jc w:val="both"/>
        <w:rPr>
          <w:color w:val="FF6600"/>
          <w:sz w:val="28"/>
          <w:szCs w:val="28"/>
        </w:rPr>
      </w:pPr>
    </w:p>
    <w:p w:rsidR="00BB6DF2" w:rsidRPr="006D0A65" w:rsidRDefault="00BB6DF2" w:rsidP="00A91056">
      <w:pPr>
        <w:jc w:val="center"/>
        <w:rPr>
          <w:b/>
          <w:bCs/>
          <w:color w:val="000000"/>
          <w:sz w:val="28"/>
          <w:szCs w:val="28"/>
        </w:rPr>
      </w:pPr>
      <w:r w:rsidRPr="006D0A65">
        <w:rPr>
          <w:b/>
          <w:bCs/>
          <w:color w:val="000000"/>
          <w:sz w:val="28"/>
          <w:szCs w:val="28"/>
        </w:rPr>
        <w:t>5. Modalitatea de delegare a concesiunii</w:t>
      </w:r>
    </w:p>
    <w:p w:rsidR="00BB6DF2" w:rsidRPr="006D0A65" w:rsidRDefault="00BB6DF2" w:rsidP="009138F5">
      <w:pPr>
        <w:jc w:val="both"/>
        <w:rPr>
          <w:b/>
          <w:bCs/>
          <w:color w:val="000000"/>
          <w:sz w:val="28"/>
          <w:szCs w:val="28"/>
        </w:rPr>
      </w:pPr>
    </w:p>
    <w:p w:rsidR="00BB6DF2" w:rsidRPr="00A91056" w:rsidRDefault="00BB6DF2" w:rsidP="009138F5">
      <w:pPr>
        <w:jc w:val="both"/>
        <w:rPr>
          <w:b/>
          <w:i/>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Concesionarea serviciului public de salubrizare al </w:t>
      </w:r>
      <w:r w:rsidRPr="006D0A65">
        <w:rPr>
          <w:sz w:val="28"/>
          <w:szCs w:val="28"/>
        </w:rPr>
        <w:t xml:space="preserve">comuna </w:t>
      </w:r>
      <w:r>
        <w:rPr>
          <w:sz w:val="28"/>
          <w:szCs w:val="28"/>
        </w:rPr>
        <w:t>Tinosu</w:t>
      </w:r>
      <w:r w:rsidRPr="006D0A65">
        <w:rPr>
          <w:sz w:val="28"/>
          <w:szCs w:val="28"/>
        </w:rPr>
        <w:t xml:space="preserve"> </w:t>
      </w:r>
      <w:r w:rsidRPr="006D0A65">
        <w:rPr>
          <w:color w:val="000000"/>
          <w:sz w:val="28"/>
          <w:szCs w:val="28"/>
        </w:rPr>
        <w:t xml:space="preserve">se va face prin </w:t>
      </w:r>
      <w:r w:rsidRPr="00A91056">
        <w:rPr>
          <w:b/>
          <w:i/>
          <w:color w:val="000000"/>
          <w:sz w:val="28"/>
          <w:szCs w:val="28"/>
        </w:rPr>
        <w:t>negociere fără publicarea prealabilă a unui anunț de participare.</w:t>
      </w:r>
    </w:p>
    <w:p w:rsidR="00BB6DF2" w:rsidRPr="006D0A65" w:rsidRDefault="00BB6DF2" w:rsidP="009138F5">
      <w:pPr>
        <w:jc w:val="both"/>
        <w:rPr>
          <w:b/>
          <w:bCs/>
          <w:color w:val="000000"/>
          <w:sz w:val="28"/>
          <w:szCs w:val="28"/>
        </w:rPr>
      </w:pPr>
    </w:p>
    <w:p w:rsidR="00BB6DF2" w:rsidRPr="006D0A65" w:rsidRDefault="00BB6DF2" w:rsidP="00A91056">
      <w:pPr>
        <w:jc w:val="center"/>
        <w:rPr>
          <w:b/>
          <w:bCs/>
          <w:color w:val="000000"/>
          <w:sz w:val="28"/>
          <w:szCs w:val="28"/>
        </w:rPr>
      </w:pPr>
      <w:r w:rsidRPr="006D0A65">
        <w:rPr>
          <w:b/>
          <w:bCs/>
          <w:color w:val="000000"/>
          <w:sz w:val="28"/>
          <w:szCs w:val="28"/>
        </w:rPr>
        <w:t>6.  Durata concesiunii</w:t>
      </w:r>
    </w:p>
    <w:p w:rsidR="00BB6DF2" w:rsidRPr="006D0A65" w:rsidRDefault="00BB6DF2" w:rsidP="009138F5">
      <w:pPr>
        <w:jc w:val="both"/>
        <w:rPr>
          <w:b/>
          <w:bCs/>
          <w:color w:val="000000"/>
          <w:sz w:val="28"/>
          <w:szCs w:val="28"/>
        </w:rPr>
      </w:pPr>
    </w:p>
    <w:p w:rsidR="00BB6DF2" w:rsidRDefault="00BB6DF2" w:rsidP="009138F5">
      <w:pPr>
        <w:jc w:val="both"/>
        <w:rPr>
          <w:color w:val="000000"/>
          <w:sz w:val="28"/>
          <w:szCs w:val="28"/>
        </w:rPr>
      </w:pPr>
      <w:r w:rsidRPr="006D0A65">
        <w:rPr>
          <w:color w:val="000000"/>
          <w:sz w:val="28"/>
          <w:szCs w:val="28"/>
        </w:rPr>
        <w:t xml:space="preserve">   </w:t>
      </w:r>
      <w:r w:rsidRPr="00A91056">
        <w:rPr>
          <w:b/>
          <w:i/>
          <w:color w:val="000000"/>
          <w:sz w:val="28"/>
          <w:szCs w:val="28"/>
        </w:rPr>
        <w:t>Durata concesiunii serviciului public de salubrizare a comunei Tinosu este de 1 an.,</w:t>
      </w:r>
      <w:r w:rsidRPr="00A91056">
        <w:rPr>
          <w:color w:val="000000"/>
          <w:sz w:val="28"/>
          <w:szCs w:val="28"/>
        </w:rPr>
        <w:t xml:space="preserve"> tinand cont de</w:t>
      </w:r>
      <w:r>
        <w:rPr>
          <w:color w:val="000000"/>
          <w:sz w:val="28"/>
          <w:szCs w:val="28"/>
        </w:rPr>
        <w:t>:</w:t>
      </w:r>
    </w:p>
    <w:p w:rsidR="00BB6DF2" w:rsidRDefault="00BB6DF2" w:rsidP="00A91056">
      <w:pPr>
        <w:ind w:firstLine="720"/>
        <w:jc w:val="both"/>
        <w:rPr>
          <w:color w:val="000000"/>
          <w:sz w:val="28"/>
          <w:szCs w:val="28"/>
        </w:rPr>
      </w:pPr>
      <w:r>
        <w:rPr>
          <w:color w:val="000000"/>
          <w:sz w:val="28"/>
          <w:szCs w:val="28"/>
        </w:rPr>
        <w:t xml:space="preserve">- procedura aleasă pentru delegarea gestiunii, procedură excepțională, utilizată pentru acoperirea unor situații de urgență, până la momentul la </w:t>
      </w:r>
      <w:r w:rsidRPr="00A660BF">
        <w:rPr>
          <w:sz w:val="28"/>
          <w:szCs w:val="28"/>
        </w:rPr>
        <w:t xml:space="preserve">care autoritatea contractantă </w:t>
      </w:r>
      <w:r>
        <w:rPr>
          <w:sz w:val="28"/>
          <w:szCs w:val="28"/>
        </w:rPr>
        <w:t xml:space="preserve">reuşeşte </w:t>
      </w:r>
      <w:r w:rsidRPr="00A660BF">
        <w:rPr>
          <w:sz w:val="28"/>
          <w:szCs w:val="28"/>
        </w:rPr>
        <w:t xml:space="preserve">să deruleze una din procedurile prevăzute la art. </w:t>
      </w:r>
      <w:r w:rsidRPr="00A660BF">
        <w:rPr>
          <w:color w:val="000000"/>
          <w:sz w:val="28"/>
          <w:szCs w:val="28"/>
        </w:rPr>
        <w:t>18</w:t>
      </w:r>
      <w:r>
        <w:rPr>
          <w:color w:val="000000"/>
          <w:sz w:val="28"/>
          <w:szCs w:val="28"/>
        </w:rPr>
        <w:t xml:space="preserve"> alin. (1) lit. a)-c) din O.U.G. nr. 34/2006, cu modificările şi completările ulterioare pentru atribuirea contractului de concesiune al serviciului public de salubrizare</w:t>
      </w:r>
      <w:r w:rsidRPr="00A91056">
        <w:rPr>
          <w:color w:val="000000"/>
          <w:sz w:val="28"/>
          <w:szCs w:val="28"/>
        </w:rPr>
        <w:t xml:space="preserve"> </w:t>
      </w:r>
    </w:p>
    <w:p w:rsidR="00BB6DF2" w:rsidRDefault="00BB6DF2" w:rsidP="00A91056">
      <w:pPr>
        <w:ind w:firstLine="720"/>
        <w:jc w:val="both"/>
        <w:rPr>
          <w:sz w:val="28"/>
          <w:szCs w:val="28"/>
        </w:rPr>
      </w:pPr>
      <w:r>
        <w:rPr>
          <w:color w:val="000000"/>
          <w:sz w:val="28"/>
          <w:szCs w:val="28"/>
        </w:rPr>
        <w:t xml:space="preserve">- iminența implementării </w:t>
      </w:r>
      <w:r w:rsidRPr="00A91056">
        <w:rPr>
          <w:color w:val="000000"/>
          <w:sz w:val="28"/>
          <w:szCs w:val="28"/>
        </w:rPr>
        <w:t xml:space="preserve"> proiectului PARTENERIATUL PENTRU MANAGEMENTUL DESEURILOR PRAHOVA</w:t>
      </w:r>
      <w:r>
        <w:rPr>
          <w:color w:val="000000"/>
          <w:sz w:val="28"/>
          <w:szCs w:val="28"/>
        </w:rPr>
        <w:t xml:space="preserve"> decătre</w:t>
      </w:r>
      <w:r w:rsidRPr="00A91056">
        <w:rPr>
          <w:color w:val="000000"/>
          <w:sz w:val="28"/>
          <w:szCs w:val="28"/>
        </w:rPr>
        <w:t xml:space="preserve"> ASOCIATIA DE DEZVOLTARE INTERCOMUNITARA –PARTENERIATUL PENTRU MANAGEMENTUL DESEURILOR PRAHOVA, </w:t>
      </w:r>
      <w:r>
        <w:rPr>
          <w:color w:val="000000"/>
          <w:sz w:val="28"/>
          <w:szCs w:val="28"/>
        </w:rPr>
        <w:t>din care comuna Tinosu face parte.</w:t>
      </w:r>
    </w:p>
    <w:p w:rsidR="00BB6DF2" w:rsidRPr="006D0A65" w:rsidRDefault="00BB6DF2" w:rsidP="00A91056">
      <w:pPr>
        <w:ind w:firstLine="720"/>
        <w:jc w:val="both"/>
        <w:rPr>
          <w:color w:val="000000"/>
          <w:sz w:val="28"/>
          <w:szCs w:val="28"/>
        </w:rPr>
      </w:pPr>
      <w:r w:rsidRPr="006D0A65">
        <w:rPr>
          <w:color w:val="000000"/>
          <w:sz w:val="28"/>
          <w:szCs w:val="28"/>
        </w:rPr>
        <w:t>Durata contractului de concesiune de servicii s-a stabilit conform art. 7 din H</w:t>
      </w:r>
      <w:r>
        <w:rPr>
          <w:color w:val="000000"/>
          <w:sz w:val="28"/>
          <w:szCs w:val="28"/>
        </w:rPr>
        <w:t>.</w:t>
      </w:r>
      <w:r w:rsidRPr="006D0A65">
        <w:rPr>
          <w:color w:val="000000"/>
          <w:sz w:val="28"/>
          <w:szCs w:val="28"/>
        </w:rPr>
        <w:t>G</w:t>
      </w:r>
      <w:r>
        <w:rPr>
          <w:color w:val="000000"/>
          <w:sz w:val="28"/>
          <w:szCs w:val="28"/>
        </w:rPr>
        <w:t>.R. nr.</w:t>
      </w:r>
      <w:r w:rsidRPr="006D0A65">
        <w:rPr>
          <w:color w:val="000000"/>
          <w:sz w:val="28"/>
          <w:szCs w:val="28"/>
        </w:rPr>
        <w:t xml:space="preserve">71/2006, astfel încât: </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a) să se evite restricţionarea artificială a accesului la competiţie; </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 xml:space="preserve">b) să se asigure un minimum de profit ca urmare a exploatării într-o perioadă dată; </w:t>
      </w:r>
    </w:p>
    <w:p w:rsidR="00BB6DF2" w:rsidRPr="006D0A65" w:rsidRDefault="00BB6DF2" w:rsidP="009138F5">
      <w:pPr>
        <w:jc w:val="both"/>
        <w:rPr>
          <w:color w:val="000000"/>
          <w:sz w:val="28"/>
          <w:szCs w:val="28"/>
        </w:rPr>
      </w:pPr>
      <w:r w:rsidRPr="006D0A65">
        <w:rPr>
          <w:color w:val="000000"/>
          <w:sz w:val="28"/>
          <w:szCs w:val="28"/>
        </w:rPr>
        <w:t xml:space="preserve"> </w:t>
      </w:r>
      <w:r>
        <w:rPr>
          <w:color w:val="000000"/>
          <w:sz w:val="28"/>
          <w:szCs w:val="28"/>
        </w:rPr>
        <w:tab/>
      </w:r>
      <w:r w:rsidRPr="006D0A65">
        <w:rPr>
          <w:color w:val="000000"/>
          <w:sz w:val="28"/>
          <w:szCs w:val="28"/>
        </w:rPr>
        <w:t>c) să se asigure un nivel rezonabil al preţurilor pentru prestaţiile care vor fi efectuate pe durata contractului şi ale căror costuri urmează să fie suportate de utilizatorii finali.</w:t>
      </w:r>
    </w:p>
    <w:p w:rsidR="00BB6DF2" w:rsidRPr="006D0A65" w:rsidRDefault="00BB6DF2" w:rsidP="00C92FC1">
      <w:pPr>
        <w:ind w:firstLine="720"/>
        <w:jc w:val="both"/>
        <w:rPr>
          <w:sz w:val="28"/>
          <w:szCs w:val="28"/>
        </w:rPr>
      </w:pPr>
      <w:r w:rsidRPr="006D0A65">
        <w:rPr>
          <w:sz w:val="28"/>
          <w:szCs w:val="28"/>
        </w:rPr>
        <w:t>Contractul prin intermediul căruia contractantul, în calitate de concesionar, primeşte dreptul de a exploata serviciile, preluând astfel şi cea mai mare parte din riscurile aferente exploatării acestora, este considerat a fi contract de concesiune de servicii, potrivit art. 3 din H</w:t>
      </w:r>
      <w:r>
        <w:rPr>
          <w:sz w:val="28"/>
          <w:szCs w:val="28"/>
        </w:rPr>
        <w:t>.</w:t>
      </w:r>
      <w:r w:rsidRPr="006D0A65">
        <w:rPr>
          <w:sz w:val="28"/>
          <w:szCs w:val="28"/>
        </w:rPr>
        <w:t>G</w:t>
      </w:r>
      <w:r>
        <w:rPr>
          <w:sz w:val="28"/>
          <w:szCs w:val="28"/>
        </w:rPr>
        <w:t xml:space="preserve">.R. nr. </w:t>
      </w:r>
      <w:r w:rsidRPr="006D0A65">
        <w:rPr>
          <w:sz w:val="28"/>
          <w:szCs w:val="28"/>
        </w:rPr>
        <w:t xml:space="preserve"> 71/2006.</w:t>
      </w:r>
    </w:p>
    <w:p w:rsidR="00BB6DF2" w:rsidRPr="006D0A65" w:rsidRDefault="00BB6DF2" w:rsidP="009138F5">
      <w:pPr>
        <w:jc w:val="both"/>
        <w:rPr>
          <w:color w:val="800000"/>
          <w:sz w:val="28"/>
          <w:szCs w:val="28"/>
        </w:rPr>
      </w:pPr>
    </w:p>
    <w:p w:rsidR="00BB6DF2" w:rsidRPr="006D0A65" w:rsidRDefault="00BB6DF2" w:rsidP="009138F5">
      <w:pPr>
        <w:jc w:val="both"/>
        <w:rPr>
          <w:color w:val="800000"/>
          <w:sz w:val="28"/>
          <w:szCs w:val="28"/>
        </w:rPr>
      </w:pPr>
    </w:p>
    <w:p w:rsidR="00BB6DF2" w:rsidRDefault="00BB6DF2" w:rsidP="000C0B4B">
      <w:pPr>
        <w:pStyle w:val="NormalWeb"/>
        <w:ind w:firstLine="720"/>
        <w:jc w:val="center"/>
        <w:rPr>
          <w:sz w:val="28"/>
          <w:szCs w:val="28"/>
          <w:lang w:val="ro-RO"/>
        </w:rPr>
      </w:pPr>
      <w:r>
        <w:rPr>
          <w:sz w:val="28"/>
          <w:szCs w:val="28"/>
          <w:lang w:val="ro-RO"/>
        </w:rPr>
        <w:t>Întocmit de Colectivul de coordonare şi supervizare</w:t>
      </w:r>
    </w:p>
    <w:p w:rsidR="00BB6DF2" w:rsidRDefault="00BB6DF2" w:rsidP="000C0B4B">
      <w:pPr>
        <w:pStyle w:val="NormalWeb"/>
        <w:ind w:firstLine="720"/>
        <w:jc w:val="center"/>
        <w:rPr>
          <w:sz w:val="28"/>
          <w:szCs w:val="28"/>
          <w:lang w:val="ro-RO"/>
        </w:rPr>
      </w:pPr>
    </w:p>
    <w:p w:rsidR="00BB6DF2" w:rsidRDefault="00BB6DF2" w:rsidP="000C0B4B">
      <w:pPr>
        <w:pStyle w:val="NormalWeb"/>
        <w:ind w:firstLine="720"/>
        <w:jc w:val="both"/>
        <w:rPr>
          <w:sz w:val="28"/>
          <w:szCs w:val="28"/>
          <w:lang w:val="ro-RO"/>
        </w:rPr>
      </w:pPr>
      <w:r>
        <w:rPr>
          <w:sz w:val="28"/>
          <w:szCs w:val="28"/>
          <w:lang w:val="ro-RO"/>
        </w:rPr>
        <w:t xml:space="preserve">Preşedinte: </w:t>
      </w:r>
      <w:r>
        <w:rPr>
          <w:sz w:val="28"/>
          <w:szCs w:val="28"/>
          <w:lang w:val="ro-RO"/>
        </w:rPr>
        <w:tab/>
        <w:t>Andrei Iulian-Gabriel, primar</w:t>
      </w:r>
    </w:p>
    <w:p w:rsidR="00BB6DF2" w:rsidRDefault="00BB6DF2" w:rsidP="000C0B4B">
      <w:pPr>
        <w:pStyle w:val="NormalWeb"/>
        <w:ind w:firstLine="720"/>
        <w:jc w:val="both"/>
        <w:rPr>
          <w:sz w:val="28"/>
          <w:szCs w:val="28"/>
          <w:lang w:val="ro-RO"/>
        </w:rPr>
      </w:pPr>
      <w:r>
        <w:rPr>
          <w:sz w:val="28"/>
          <w:szCs w:val="28"/>
          <w:lang w:val="ro-RO"/>
        </w:rPr>
        <w:t xml:space="preserve">Secretar: </w:t>
      </w:r>
      <w:r>
        <w:rPr>
          <w:sz w:val="28"/>
          <w:szCs w:val="28"/>
          <w:lang w:val="ro-RO"/>
        </w:rPr>
        <w:tab/>
        <w:t>Costache Mirela, secretar comună</w:t>
      </w:r>
    </w:p>
    <w:p w:rsidR="00BB6DF2" w:rsidRDefault="00BB6DF2" w:rsidP="000C0B4B">
      <w:pPr>
        <w:pStyle w:val="NormalWeb"/>
        <w:ind w:firstLine="720"/>
        <w:jc w:val="both"/>
        <w:rPr>
          <w:sz w:val="28"/>
          <w:szCs w:val="28"/>
          <w:lang w:val="ro-RO"/>
        </w:rPr>
      </w:pPr>
      <w:r>
        <w:rPr>
          <w:sz w:val="28"/>
          <w:szCs w:val="28"/>
          <w:lang w:val="ro-RO"/>
        </w:rPr>
        <w:t>Membri:</w:t>
      </w:r>
      <w:r>
        <w:rPr>
          <w:sz w:val="28"/>
          <w:szCs w:val="28"/>
          <w:lang w:val="ro-RO"/>
        </w:rPr>
        <w:tab/>
        <w:t>Ghiță Stelian, viceprimar</w:t>
      </w:r>
    </w:p>
    <w:p w:rsidR="00BB6DF2" w:rsidRDefault="00BB6DF2" w:rsidP="000C0B4B">
      <w:pPr>
        <w:pStyle w:val="NormalWeb"/>
        <w:ind w:left="2160"/>
        <w:jc w:val="both"/>
        <w:rPr>
          <w:sz w:val="28"/>
          <w:szCs w:val="28"/>
          <w:lang w:val="ro-RO"/>
        </w:rPr>
      </w:pPr>
      <w:r>
        <w:rPr>
          <w:sz w:val="28"/>
          <w:szCs w:val="28"/>
          <w:lang w:val="ro-RO"/>
        </w:rPr>
        <w:t>Vlad Adriana, şef Birou financiar-contabilitate, taxe şi impozite, resurse umane</w:t>
      </w:r>
    </w:p>
    <w:p w:rsidR="00BB6DF2" w:rsidRDefault="00BB6DF2" w:rsidP="000C0B4B">
      <w:pPr>
        <w:pStyle w:val="NormalWeb"/>
        <w:ind w:firstLine="720"/>
        <w:jc w:val="both"/>
        <w:rPr>
          <w:sz w:val="28"/>
          <w:szCs w:val="28"/>
          <w:lang w:val="ro-RO"/>
        </w:rPr>
      </w:pPr>
      <w:r>
        <w:rPr>
          <w:sz w:val="28"/>
          <w:szCs w:val="28"/>
          <w:lang w:val="ro-RO"/>
        </w:rPr>
        <w:tab/>
      </w:r>
      <w:r>
        <w:rPr>
          <w:sz w:val="28"/>
          <w:szCs w:val="28"/>
          <w:lang w:val="ro-RO"/>
        </w:rPr>
        <w:tab/>
        <w:t>Stan Sorina, inspector urbanism</w:t>
      </w:r>
    </w:p>
    <w:p w:rsidR="00BB6DF2" w:rsidRDefault="00BB6DF2" w:rsidP="000C0B4B">
      <w:pPr>
        <w:pStyle w:val="NormalWeb"/>
        <w:ind w:left="2160"/>
        <w:jc w:val="both"/>
        <w:rPr>
          <w:sz w:val="28"/>
          <w:szCs w:val="28"/>
          <w:lang w:val="ro-RO"/>
        </w:rPr>
      </w:pPr>
      <w:r>
        <w:rPr>
          <w:sz w:val="28"/>
          <w:szCs w:val="28"/>
          <w:lang w:val="ro-RO"/>
        </w:rPr>
        <w:t>Preda Georgeta-Violeta, consilier compartiment agricol şi cadastru</w:t>
      </w:r>
    </w:p>
    <w:p w:rsidR="00BB6DF2" w:rsidRPr="00D0177B" w:rsidRDefault="00BB6DF2" w:rsidP="000C0B4B">
      <w:pPr>
        <w:pStyle w:val="NormalWeb"/>
        <w:ind w:left="2160"/>
        <w:jc w:val="both"/>
        <w:rPr>
          <w:sz w:val="28"/>
          <w:szCs w:val="28"/>
          <w:lang w:val="ro-RO"/>
        </w:rPr>
      </w:pPr>
      <w:r>
        <w:rPr>
          <w:sz w:val="28"/>
          <w:szCs w:val="28"/>
          <w:lang w:val="ro-RO"/>
        </w:rPr>
        <w:t>Zaharia Daniel, administrator S.C. KRYNADA SMART SOLUTION S.R.L., expert extern</w:t>
      </w:r>
    </w:p>
    <w:p w:rsidR="00BB6DF2" w:rsidRPr="00D0177B" w:rsidRDefault="00BB6DF2" w:rsidP="000C0B4B">
      <w:pPr>
        <w:jc w:val="both"/>
        <w:rPr>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Default="00BB6DF2" w:rsidP="008903EF">
      <w:pPr>
        <w:autoSpaceDE w:val="0"/>
        <w:autoSpaceDN w:val="0"/>
        <w:adjustRightInd w:val="0"/>
        <w:jc w:val="center"/>
        <w:rPr>
          <w:b/>
          <w:bCs/>
          <w:color w:val="000000"/>
          <w:sz w:val="28"/>
          <w:szCs w:val="28"/>
        </w:rPr>
      </w:pPr>
    </w:p>
    <w:p w:rsidR="00BB6DF2" w:rsidRPr="006D0A65" w:rsidRDefault="00BB6DF2" w:rsidP="008903EF">
      <w:pPr>
        <w:autoSpaceDE w:val="0"/>
        <w:autoSpaceDN w:val="0"/>
        <w:adjustRightInd w:val="0"/>
        <w:jc w:val="center"/>
        <w:rPr>
          <w:b/>
          <w:bCs/>
          <w:color w:val="000000"/>
          <w:sz w:val="28"/>
          <w:szCs w:val="28"/>
        </w:rPr>
      </w:pPr>
      <w:r w:rsidRPr="006D0A65">
        <w:rPr>
          <w:b/>
          <w:bCs/>
          <w:color w:val="000000"/>
          <w:sz w:val="28"/>
          <w:szCs w:val="28"/>
        </w:rPr>
        <w:t>Matricea Responsabilităţilor Principale</w:t>
      </w:r>
    </w:p>
    <w:p w:rsidR="00BB6DF2" w:rsidRPr="006D0A65" w:rsidRDefault="00BB6DF2" w:rsidP="009138F5">
      <w:pPr>
        <w:autoSpaceDE w:val="0"/>
        <w:autoSpaceDN w:val="0"/>
        <w:adjustRightInd w:val="0"/>
        <w:jc w:val="both"/>
        <w:rPr>
          <w:color w:val="000000"/>
          <w:sz w:val="28"/>
          <w:szCs w:val="28"/>
        </w:rPr>
      </w:pPr>
      <w:r w:rsidRPr="006D0A65">
        <w:rPr>
          <w:color w:val="000000"/>
          <w:sz w:val="28"/>
          <w:szCs w:val="28"/>
        </w:rPr>
        <w:tab/>
        <w:t xml:space="preserve">O vedere de ansamblu asupra scopului Contractului şi a modului de alocare a responsabilităţilor principale între Concedent şi Concesionar este prezentată în tabelul de mai jos: </w:t>
      </w:r>
    </w:p>
    <w:p w:rsidR="00BB6DF2" w:rsidRDefault="00BB6DF2" w:rsidP="008903EF">
      <w:pPr>
        <w:autoSpaceDE w:val="0"/>
        <w:autoSpaceDN w:val="0"/>
        <w:adjustRightInd w:val="0"/>
        <w:jc w:val="center"/>
        <w:rPr>
          <w:b/>
          <w:bCs/>
          <w:color w:val="000000"/>
          <w:sz w:val="28"/>
          <w:szCs w:val="28"/>
        </w:rPr>
      </w:pPr>
      <w:r w:rsidRPr="006D0A65">
        <w:rPr>
          <w:b/>
          <w:bCs/>
          <w:color w:val="000000"/>
          <w:sz w:val="28"/>
          <w:szCs w:val="28"/>
        </w:rPr>
        <w:t xml:space="preserve">Servicii de salubrizare – Scopul Contractului Propus şi </w:t>
      </w:r>
    </w:p>
    <w:p w:rsidR="00BB6DF2" w:rsidRPr="006D0A65" w:rsidRDefault="00BB6DF2" w:rsidP="008903EF">
      <w:pPr>
        <w:autoSpaceDE w:val="0"/>
        <w:autoSpaceDN w:val="0"/>
        <w:adjustRightInd w:val="0"/>
        <w:jc w:val="center"/>
        <w:rPr>
          <w:b/>
          <w:bCs/>
          <w:color w:val="000000"/>
          <w:sz w:val="28"/>
          <w:szCs w:val="28"/>
        </w:rPr>
      </w:pPr>
      <w:r w:rsidRPr="006D0A65">
        <w:rPr>
          <w:b/>
          <w:bCs/>
          <w:color w:val="000000"/>
          <w:sz w:val="28"/>
          <w:szCs w:val="28"/>
        </w:rPr>
        <w:t>Repartitia  riscurilor de Proiect</w:t>
      </w:r>
    </w:p>
    <w:p w:rsidR="00BB6DF2" w:rsidRPr="006D0A65" w:rsidRDefault="00BB6DF2" w:rsidP="009138F5">
      <w:pPr>
        <w:autoSpaceDE w:val="0"/>
        <w:autoSpaceDN w:val="0"/>
        <w:adjustRightInd w:val="0"/>
        <w:jc w:val="both"/>
        <w:rPr>
          <w:b/>
          <w:bCs/>
          <w:color w:val="000000"/>
          <w:sz w:val="28"/>
          <w:szCs w:val="28"/>
        </w:rPr>
      </w:pPr>
    </w:p>
    <w:tbl>
      <w:tblPr>
        <w:tblW w:w="5042" w:type="pct"/>
        <w:tblInd w:w="-68" w:type="dxa"/>
        <w:tblLayout w:type="fixed"/>
        <w:tblCellMar>
          <w:left w:w="70" w:type="dxa"/>
          <w:right w:w="70" w:type="dxa"/>
        </w:tblCellMar>
        <w:tblLook w:val="0000"/>
      </w:tblPr>
      <w:tblGrid>
        <w:gridCol w:w="5"/>
        <w:gridCol w:w="2589"/>
        <w:gridCol w:w="3957"/>
        <w:gridCol w:w="1439"/>
        <w:gridCol w:w="1259"/>
        <w:gridCol w:w="1261"/>
      </w:tblGrid>
      <w:tr w:rsidR="00BB6DF2" w:rsidRPr="006D0A65">
        <w:trPr>
          <w:trHeight w:val="810"/>
        </w:trPr>
        <w:tc>
          <w:tcPr>
            <w:tcW w:w="1232" w:type="pct"/>
            <w:gridSpan w:val="2"/>
            <w:tcBorders>
              <w:top w:val="single" w:sz="4" w:space="0" w:color="auto"/>
              <w:left w:val="single" w:sz="4" w:space="0" w:color="auto"/>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CATEGORIA DE RISC</w:t>
            </w:r>
          </w:p>
        </w:tc>
        <w:tc>
          <w:tcPr>
            <w:tcW w:w="1884" w:type="pct"/>
            <w:tcBorders>
              <w:top w:val="single" w:sz="4" w:space="0" w:color="auto"/>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DESCRIERE</w:t>
            </w:r>
          </w:p>
        </w:tc>
        <w:tc>
          <w:tcPr>
            <w:tcW w:w="1884" w:type="pct"/>
            <w:gridSpan w:val="3"/>
            <w:tcBorders>
              <w:top w:val="single" w:sz="4" w:space="0" w:color="auto"/>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PROPUNERE DE REPARTITIE A RISCULUI</w:t>
            </w:r>
          </w:p>
        </w:tc>
      </w:tr>
      <w:tr w:rsidR="00BB6DF2" w:rsidRPr="006D0A65">
        <w:trPr>
          <w:trHeight w:val="495"/>
        </w:trPr>
        <w:tc>
          <w:tcPr>
            <w:tcW w:w="1232" w:type="pct"/>
            <w:gridSpan w:val="2"/>
            <w:tcBorders>
              <w:top w:val="nil"/>
              <w:left w:val="single" w:sz="4" w:space="0" w:color="auto"/>
              <w:bottom w:val="single" w:sz="4" w:space="0" w:color="auto"/>
              <w:right w:val="single" w:sz="4" w:space="0" w:color="auto"/>
            </w:tcBorders>
            <w:shd w:val="clear" w:color="auto" w:fill="FFFF99"/>
            <w:vAlign w:val="center"/>
          </w:tcPr>
          <w:p w:rsidR="00BB6DF2" w:rsidRPr="006D0A65" w:rsidRDefault="00BB6DF2" w:rsidP="008903EF">
            <w:pPr>
              <w:jc w:val="center"/>
              <w:rPr>
                <w:b/>
                <w:bCs/>
                <w:sz w:val="28"/>
                <w:szCs w:val="28"/>
              </w:rPr>
            </w:pPr>
            <w:r w:rsidRPr="006D0A65">
              <w:rPr>
                <w:b/>
                <w:bCs/>
                <w:sz w:val="28"/>
                <w:szCs w:val="28"/>
              </w:rPr>
              <w:t>Riscuri juridice şi de mediu</w:t>
            </w:r>
          </w:p>
        </w:tc>
        <w:tc>
          <w:tcPr>
            <w:tcW w:w="1884" w:type="pct"/>
            <w:tcBorders>
              <w:top w:val="nil"/>
              <w:left w:val="nil"/>
              <w:bottom w:val="single" w:sz="4" w:space="0" w:color="auto"/>
              <w:right w:val="single" w:sz="4" w:space="0" w:color="auto"/>
            </w:tcBorders>
            <w:shd w:val="clear" w:color="auto" w:fill="FFFF99"/>
            <w:vAlign w:val="center"/>
          </w:tcPr>
          <w:p w:rsidR="00BB6DF2" w:rsidRPr="006D0A65" w:rsidRDefault="00BB6DF2" w:rsidP="00DE2603">
            <w:pPr>
              <w:rPr>
                <w:b/>
                <w:bCs/>
                <w:sz w:val="28"/>
                <w:szCs w:val="28"/>
              </w:rPr>
            </w:pPr>
            <w:r w:rsidRPr="006D0A65">
              <w:rPr>
                <w:b/>
                <w:bCs/>
                <w:sz w:val="28"/>
                <w:szCs w:val="28"/>
              </w:rPr>
              <w:t> </w:t>
            </w:r>
          </w:p>
        </w:tc>
        <w:tc>
          <w:tcPr>
            <w:tcW w:w="685" w:type="pct"/>
            <w:tcBorders>
              <w:top w:val="nil"/>
              <w:left w:val="nil"/>
              <w:bottom w:val="single" w:sz="4" w:space="0" w:color="auto"/>
              <w:right w:val="single" w:sz="4" w:space="0" w:color="auto"/>
            </w:tcBorders>
            <w:shd w:val="clear" w:color="auto" w:fill="FFFF99"/>
            <w:vAlign w:val="center"/>
          </w:tcPr>
          <w:p w:rsidR="00BB6DF2" w:rsidRPr="008903EF" w:rsidRDefault="00BB6DF2" w:rsidP="00DE2603">
            <w:pPr>
              <w:jc w:val="center"/>
              <w:rPr>
                <w:b/>
                <w:bCs/>
              </w:rPr>
            </w:pPr>
            <w:r w:rsidRPr="008903EF">
              <w:rPr>
                <w:b/>
                <w:bCs/>
              </w:rPr>
              <w:t>Concesionar</w:t>
            </w:r>
          </w:p>
          <w:p w:rsidR="00BB6DF2" w:rsidRPr="008903EF" w:rsidRDefault="00BB6DF2" w:rsidP="00DE2603">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DE2603">
            <w:pPr>
              <w:jc w:val="center"/>
              <w:rPr>
                <w:b/>
                <w:bCs/>
              </w:rPr>
            </w:pPr>
            <w:r w:rsidRPr="008903EF">
              <w:rPr>
                <w:b/>
                <w:bCs/>
              </w:rPr>
              <w:t>Concedent</w:t>
            </w:r>
          </w:p>
          <w:p w:rsidR="00BB6DF2" w:rsidRPr="008903EF" w:rsidRDefault="00BB6DF2" w:rsidP="00DE2603">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DE2603">
            <w:pPr>
              <w:jc w:val="center"/>
              <w:rPr>
                <w:b/>
                <w:bCs/>
              </w:rPr>
            </w:pPr>
            <w:r w:rsidRPr="008903EF">
              <w:rPr>
                <w:b/>
                <w:bCs/>
              </w:rPr>
              <w:t>Risc Comun</w:t>
            </w:r>
          </w:p>
        </w:tc>
      </w:tr>
      <w:tr w:rsidR="00BB6DF2" w:rsidRPr="006D0A65">
        <w:trPr>
          <w:trHeight w:val="855"/>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Actiuni guvernamentale adverse</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Modificari legislative si de reglementare care pot determina efecte adverse in colectare, transport si in pozitia financiara a operatorului</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Tinte privind reciclarea deseurilor</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Imposibilitatea de a atinge tintele nationale si judetene privind reciclarea plasticului, sticlei, metalului, hartiei si carton</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Conformitate</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 xml:space="preserve">Imposibilitatea de a respecta alte prevederi legale privind gestiunea deseurilor si reglementarile relevante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855"/>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Extinderea deseurilor</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Contaminarea mediului inconjurator datorita extinderii/imprastierea deseurilor in timpul colectarii si transportului inclusiv impactul asupra costurilor si activitatii</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Plangeri/reclamatii</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 xml:space="preserve">Costul reclamatiilor si a procedurilor  legale ca rezultat al imprastierii deseurilor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A treia parte prejudiciata</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Ranirea persoanelor si pierderea sau prejudicierea proprietatii in timpul colectarii si transportului deseurilor</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Culpa operatorului</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 xml:space="preserve">Consecinţele financiare care rezultă din culpa operatorului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Culpa autoritatii</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 xml:space="preserve">Consecinţele financiare care rezultă din culpa Autoritatii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39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Forta majora</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jc w:val="both"/>
              <w:rPr>
                <w:sz w:val="28"/>
                <w:szCs w:val="28"/>
              </w:rPr>
            </w:pPr>
            <w:r w:rsidRPr="006D0A65">
              <w:rPr>
                <w:sz w:val="28"/>
                <w:szCs w:val="28"/>
              </w:rPr>
              <w:t xml:space="preserve">Riscuri neasigurabile in legatura cu evenimente de forta majora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r>
      <w:tr w:rsidR="00BB6DF2" w:rsidRPr="006D0A65">
        <w:trPr>
          <w:trHeight w:val="465"/>
        </w:trPr>
        <w:tc>
          <w:tcPr>
            <w:tcW w:w="1232" w:type="pct"/>
            <w:gridSpan w:val="2"/>
            <w:tcBorders>
              <w:top w:val="nil"/>
              <w:left w:val="single" w:sz="4" w:space="0" w:color="auto"/>
              <w:bottom w:val="single" w:sz="4" w:space="0" w:color="auto"/>
              <w:right w:val="single" w:sz="4" w:space="0" w:color="auto"/>
            </w:tcBorders>
            <w:shd w:val="clear" w:color="auto" w:fill="FFFF99"/>
            <w:vAlign w:val="center"/>
          </w:tcPr>
          <w:p w:rsidR="00BB6DF2" w:rsidRPr="006D0A65" w:rsidRDefault="00BB6DF2" w:rsidP="008903EF">
            <w:pPr>
              <w:jc w:val="center"/>
              <w:rPr>
                <w:b/>
                <w:bCs/>
                <w:sz w:val="28"/>
                <w:szCs w:val="28"/>
              </w:rPr>
            </w:pPr>
            <w:r w:rsidRPr="006D0A65">
              <w:rPr>
                <w:b/>
                <w:bCs/>
                <w:sz w:val="28"/>
                <w:szCs w:val="28"/>
              </w:rPr>
              <w:t>Generarea deseului si riscuri din colectare</w:t>
            </w:r>
          </w:p>
        </w:tc>
        <w:tc>
          <w:tcPr>
            <w:tcW w:w="1884" w:type="pct"/>
            <w:tcBorders>
              <w:top w:val="nil"/>
              <w:left w:val="nil"/>
              <w:bottom w:val="single" w:sz="4" w:space="0" w:color="auto"/>
              <w:right w:val="single" w:sz="4" w:space="0" w:color="auto"/>
            </w:tcBorders>
            <w:shd w:val="clear" w:color="auto" w:fill="FFFF99"/>
            <w:vAlign w:val="center"/>
          </w:tcPr>
          <w:p w:rsidR="00BB6DF2" w:rsidRPr="006D0A65" w:rsidRDefault="00BB6DF2" w:rsidP="008903EF">
            <w:pPr>
              <w:jc w:val="center"/>
              <w:rPr>
                <w:b/>
                <w:bCs/>
                <w:sz w:val="28"/>
                <w:szCs w:val="28"/>
              </w:rPr>
            </w:pPr>
          </w:p>
        </w:tc>
        <w:tc>
          <w:tcPr>
            <w:tcW w:w="685" w:type="pct"/>
            <w:tcBorders>
              <w:top w:val="nil"/>
              <w:left w:val="nil"/>
              <w:bottom w:val="single" w:sz="4" w:space="0" w:color="auto"/>
              <w:right w:val="single" w:sz="4" w:space="0" w:color="auto"/>
            </w:tcBorders>
            <w:shd w:val="clear" w:color="auto" w:fill="FFFF99"/>
            <w:vAlign w:val="center"/>
          </w:tcPr>
          <w:p w:rsidR="00BB6DF2" w:rsidRPr="008903EF" w:rsidRDefault="00BB6DF2" w:rsidP="008903EF">
            <w:pPr>
              <w:jc w:val="center"/>
              <w:rPr>
                <w:b/>
                <w:bCs/>
              </w:rPr>
            </w:pPr>
            <w:r w:rsidRPr="008903EF">
              <w:rPr>
                <w:b/>
                <w:bCs/>
              </w:rPr>
              <w:t>Concesionar</w:t>
            </w:r>
          </w:p>
          <w:p w:rsidR="00BB6DF2" w:rsidRPr="008903EF" w:rsidRDefault="00BB6DF2" w:rsidP="008903EF">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8903EF">
            <w:pPr>
              <w:jc w:val="center"/>
              <w:rPr>
                <w:b/>
                <w:bCs/>
              </w:rPr>
            </w:pPr>
            <w:r w:rsidRPr="008903EF">
              <w:rPr>
                <w:b/>
                <w:bCs/>
              </w:rPr>
              <w:t>Concedent</w:t>
            </w:r>
          </w:p>
          <w:p w:rsidR="00BB6DF2" w:rsidRPr="008903EF" w:rsidRDefault="00BB6DF2" w:rsidP="008903EF">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8903EF">
            <w:pPr>
              <w:jc w:val="center"/>
              <w:rPr>
                <w:b/>
                <w:bCs/>
              </w:rPr>
            </w:pPr>
            <w:r w:rsidRPr="008903EF">
              <w:rPr>
                <w:b/>
                <w:bCs/>
              </w:rPr>
              <w:t>Risc comun</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Cantitatea totala de deseuri pentru a fi colectata si transferata la punctul de depunere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Riscuri ca aceste cantitati sa difere de cele bugetate de catre Autoritate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Cantitatea de deseuri reciclabile si biodegradabile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Cantitatile de deseuri reciclabile si biodegradabile selectate rezultate din colectare difera de cantitatea bugetata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Capacitate restransa de folosire a containerelor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Folosirea sub limita a containerelor necesita reajustarea programului de colectare si a numarului de goliri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r>
      <w:tr w:rsidR="00BB6DF2" w:rsidRPr="006D0A65">
        <w:trPr>
          <w:trHeight w:val="39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Constientizare limitata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Selectarea insuficienta si incorecta a deseurilor reciclabile in containere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 </w:t>
            </w:r>
          </w:p>
        </w:tc>
      </w:tr>
      <w:tr w:rsidR="00BB6DF2" w:rsidRPr="006D0A65">
        <w:trPr>
          <w:trHeight w:val="39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Schimbari demografice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Schimbarile demografice conduc la schimbari in programul de colectare </w:t>
            </w:r>
          </w:p>
        </w:tc>
        <w:tc>
          <w:tcPr>
            <w:tcW w:w="685"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Riscul colectarii altor deseuri decat cele solide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Deteriorarea containerelor si a vehicolelor de colectare rezultata din depunerea de catre clienti a unor tipuri de deseuri neadecvate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trHeight w:val="300"/>
        </w:trPr>
        <w:tc>
          <w:tcPr>
            <w:tcW w:w="1232" w:type="pct"/>
            <w:gridSpan w:val="2"/>
            <w:tcBorders>
              <w:top w:val="nil"/>
              <w:left w:val="single" w:sz="4" w:space="0" w:color="auto"/>
              <w:bottom w:val="single" w:sz="4" w:space="0" w:color="auto"/>
              <w:right w:val="single" w:sz="4" w:space="0" w:color="auto"/>
            </w:tcBorders>
            <w:shd w:val="clear" w:color="auto" w:fill="FFFF99"/>
            <w:vAlign w:val="center"/>
          </w:tcPr>
          <w:p w:rsidR="00BB6DF2" w:rsidRPr="006D0A65" w:rsidRDefault="00BB6DF2" w:rsidP="008903EF">
            <w:pPr>
              <w:jc w:val="center"/>
              <w:rPr>
                <w:b/>
                <w:bCs/>
                <w:sz w:val="28"/>
                <w:szCs w:val="28"/>
              </w:rPr>
            </w:pPr>
            <w:r w:rsidRPr="006D0A65">
              <w:rPr>
                <w:b/>
                <w:bCs/>
                <w:sz w:val="28"/>
                <w:szCs w:val="28"/>
              </w:rPr>
              <w:t>Riscuri operationale</w:t>
            </w:r>
          </w:p>
        </w:tc>
        <w:tc>
          <w:tcPr>
            <w:tcW w:w="1884" w:type="pct"/>
            <w:tcBorders>
              <w:top w:val="nil"/>
              <w:left w:val="nil"/>
              <w:bottom w:val="single" w:sz="4" w:space="0" w:color="auto"/>
              <w:right w:val="single" w:sz="4" w:space="0" w:color="auto"/>
            </w:tcBorders>
            <w:shd w:val="clear" w:color="auto" w:fill="FFFF99"/>
            <w:vAlign w:val="center"/>
          </w:tcPr>
          <w:p w:rsidR="00BB6DF2" w:rsidRPr="006D0A65" w:rsidRDefault="00BB6DF2" w:rsidP="00DE2603">
            <w:pPr>
              <w:rPr>
                <w:b/>
                <w:bCs/>
                <w:sz w:val="28"/>
                <w:szCs w:val="28"/>
              </w:rPr>
            </w:pPr>
            <w:r w:rsidRPr="006D0A65">
              <w:rPr>
                <w:b/>
                <w:bCs/>
                <w:sz w:val="28"/>
                <w:szCs w:val="28"/>
              </w:rPr>
              <w:t> </w:t>
            </w:r>
          </w:p>
        </w:tc>
        <w:tc>
          <w:tcPr>
            <w:tcW w:w="685" w:type="pct"/>
            <w:tcBorders>
              <w:top w:val="nil"/>
              <w:left w:val="nil"/>
              <w:bottom w:val="single" w:sz="4" w:space="0" w:color="auto"/>
              <w:right w:val="single" w:sz="4" w:space="0" w:color="auto"/>
            </w:tcBorders>
            <w:shd w:val="clear" w:color="auto" w:fill="FFFF99"/>
            <w:vAlign w:val="center"/>
          </w:tcPr>
          <w:p w:rsidR="00BB6DF2" w:rsidRPr="008903EF" w:rsidRDefault="00BB6DF2" w:rsidP="008903EF">
            <w:pPr>
              <w:jc w:val="center"/>
              <w:rPr>
                <w:b/>
                <w:bCs/>
              </w:rPr>
            </w:pPr>
            <w:r w:rsidRPr="008903EF">
              <w:rPr>
                <w:b/>
                <w:bCs/>
              </w:rPr>
              <w:t>Concesionar</w:t>
            </w:r>
          </w:p>
          <w:p w:rsidR="00BB6DF2" w:rsidRPr="008903EF" w:rsidRDefault="00BB6DF2" w:rsidP="008903EF">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8903EF">
            <w:pPr>
              <w:jc w:val="center"/>
              <w:rPr>
                <w:b/>
                <w:bCs/>
              </w:rPr>
            </w:pPr>
            <w:r w:rsidRPr="008903EF">
              <w:rPr>
                <w:b/>
                <w:bCs/>
              </w:rPr>
              <w:t>Concedent</w:t>
            </w:r>
          </w:p>
          <w:p w:rsidR="00BB6DF2" w:rsidRPr="008903EF" w:rsidRDefault="00BB6DF2" w:rsidP="008903EF">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8903EF">
            <w:pPr>
              <w:jc w:val="center"/>
              <w:rPr>
                <w:b/>
                <w:bCs/>
              </w:rPr>
            </w:pPr>
            <w:r w:rsidRPr="008903EF">
              <w:rPr>
                <w:b/>
                <w:bCs/>
              </w:rPr>
              <w:t>Risc comun</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Licente si permise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Licentele si permisele cerute Operatorului pentru desfasurarea activitatii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Calitatea serviciilor de colectare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Calitatea si sincronizarea serviciului de colectare diferite de obligatiile contractuale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Conditii climatice adverse altele decat forta majora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Riscul intarzierii serviciului sau costuri crescute ca rezultat al conditiilor climaterice adverse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Siguranta muncii si sanatatea salariatilor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Respectarea reglementarilor existente si responsabilitatea pentru ranirea sau imbolnavirea salariatilor operatorului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trHeight w:val="39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Disponibilitatea combustibilului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Combustibil insuficient pentru operarea vehicolelor de colectare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trHeight w:val="570"/>
        </w:trPr>
        <w:tc>
          <w:tcPr>
            <w:tcW w:w="1232" w:type="pct"/>
            <w:gridSpan w:val="2"/>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Actiuni industriale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Intarzieri si costuri suplimentare datorate pentru actiuni industriale legale si nelegale savarsite de personalul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Intreruperea si intarzierea serviciilor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Costuri suplimentare rezultate din actiuni de protest soldate cu inchiderea sau blocarea drumurilor altele decat forta majora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Depunerea deseurilor menajere in afara containerelor in cazul locuintelor individuale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Tipurile de deseuri plasate in afara containerelor in cazul locuintelor individuale prevazute de contractul de colectare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Deseuri solide plasate in afara containerelor in cazul punctelor de colectare comunale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Tipuri de deseuri plasate in afara containerelor in cazul punctelor de colectare prevazute in contract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Alte tipuri de deseuri plasate in sau in afara containerelor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Volume mari, deseuri din constructii, deseuri periculoase sau alte tipuri de deseuri altele decat solide plasate la vedere in sau in afara containerelor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Capacitatea vehicolelor de colectare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Colectarea si capacitatea suficienta de transport a vehicolelor de colectare pentru serviciile de livrare contractate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Capacitate suficienta a containerelor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Capacitatea suficienta a containerelor pentru indeplinirea cerintelor contractuale altele decat cele rezultate din schimbari demografice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Curatarea platformelor de colectare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Curatarea in urma deversarii deseurilor sau in urma altor situatii asemanatoare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39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Inlocuirea containerelor invechite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Inlocuirea containerelor pentru care repararea nu este convenabila din punct de vedere financiar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585"/>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Deteriorarea platformelor de colectare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Riscuri de deteriorare inclusiv actele de vandalism ale platformelor de colectare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Deteriorarea vehicolelor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Riscul deteriorarii incluzand si actele de vandalism ale vehicolelor, altele decat forta majora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39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Repararea si intretinerea containerelor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Repararea containerelor pentru a asigura o folosire corespunzatoare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39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Repararea si intretinerea platformelor de colectare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Intretinerea regulata pentru asigurarea unei folosiri corespunzatoare </w:t>
            </w:r>
          </w:p>
          <w:p w:rsidR="00BB6DF2" w:rsidRPr="006D0A65" w:rsidRDefault="00BB6DF2" w:rsidP="00DE2603">
            <w:pPr>
              <w:rPr>
                <w:sz w:val="28"/>
                <w:szCs w:val="28"/>
              </w:rPr>
            </w:pP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Repararea si intretinerea vehicolelor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Intretinerea regulata pentru a asigura un nivel de performanta corespunzator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p>
        </w:tc>
      </w:tr>
      <w:tr w:rsidR="00BB6DF2" w:rsidRPr="006D0A65">
        <w:trPr>
          <w:gridBefore w:val="1"/>
          <w:trHeight w:val="420"/>
        </w:trPr>
        <w:tc>
          <w:tcPr>
            <w:tcW w:w="1232" w:type="pct"/>
            <w:tcBorders>
              <w:top w:val="nil"/>
              <w:left w:val="single" w:sz="4" w:space="0" w:color="auto"/>
              <w:bottom w:val="single" w:sz="4" w:space="0" w:color="auto"/>
              <w:right w:val="single" w:sz="4" w:space="0" w:color="auto"/>
            </w:tcBorders>
            <w:shd w:val="clear" w:color="auto" w:fill="FFFF99"/>
            <w:vAlign w:val="center"/>
          </w:tcPr>
          <w:p w:rsidR="00BB6DF2" w:rsidRPr="006D0A65" w:rsidRDefault="00BB6DF2" w:rsidP="008903EF">
            <w:pPr>
              <w:jc w:val="center"/>
              <w:rPr>
                <w:b/>
                <w:bCs/>
                <w:sz w:val="28"/>
                <w:szCs w:val="28"/>
              </w:rPr>
            </w:pPr>
            <w:r w:rsidRPr="006D0A65">
              <w:rPr>
                <w:b/>
                <w:bCs/>
                <w:sz w:val="28"/>
                <w:szCs w:val="28"/>
              </w:rPr>
              <w:t>Riscuri financiare</w:t>
            </w:r>
          </w:p>
        </w:tc>
        <w:tc>
          <w:tcPr>
            <w:tcW w:w="1884" w:type="pct"/>
            <w:tcBorders>
              <w:top w:val="nil"/>
              <w:left w:val="nil"/>
              <w:bottom w:val="single" w:sz="4" w:space="0" w:color="auto"/>
              <w:right w:val="single" w:sz="4" w:space="0" w:color="auto"/>
            </w:tcBorders>
            <w:shd w:val="clear" w:color="auto" w:fill="FFFF99"/>
            <w:vAlign w:val="center"/>
          </w:tcPr>
          <w:p w:rsidR="00BB6DF2" w:rsidRPr="006D0A65" w:rsidRDefault="00BB6DF2" w:rsidP="00DE2603">
            <w:pPr>
              <w:rPr>
                <w:b/>
                <w:bCs/>
                <w:sz w:val="28"/>
                <w:szCs w:val="28"/>
              </w:rPr>
            </w:pPr>
            <w:r w:rsidRPr="006D0A65">
              <w:rPr>
                <w:b/>
                <w:bCs/>
                <w:sz w:val="28"/>
                <w:szCs w:val="28"/>
              </w:rPr>
              <w:t> </w:t>
            </w:r>
          </w:p>
        </w:tc>
        <w:tc>
          <w:tcPr>
            <w:tcW w:w="685" w:type="pct"/>
            <w:tcBorders>
              <w:top w:val="nil"/>
              <w:left w:val="nil"/>
              <w:bottom w:val="single" w:sz="4" w:space="0" w:color="auto"/>
              <w:right w:val="single" w:sz="4" w:space="0" w:color="auto"/>
            </w:tcBorders>
            <w:shd w:val="clear" w:color="auto" w:fill="FFFF99"/>
            <w:vAlign w:val="center"/>
          </w:tcPr>
          <w:p w:rsidR="00BB6DF2" w:rsidRPr="008903EF" w:rsidRDefault="00BB6DF2" w:rsidP="00DE2603">
            <w:pPr>
              <w:jc w:val="center"/>
              <w:rPr>
                <w:b/>
                <w:bCs/>
              </w:rPr>
            </w:pPr>
            <w:r w:rsidRPr="008903EF">
              <w:rPr>
                <w:b/>
                <w:bCs/>
              </w:rPr>
              <w:t>Concesionar</w:t>
            </w:r>
          </w:p>
          <w:p w:rsidR="00BB6DF2" w:rsidRPr="008903EF" w:rsidRDefault="00BB6DF2" w:rsidP="00DE2603">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DE2603">
            <w:pPr>
              <w:jc w:val="center"/>
              <w:rPr>
                <w:b/>
                <w:bCs/>
              </w:rPr>
            </w:pPr>
            <w:r w:rsidRPr="008903EF">
              <w:rPr>
                <w:b/>
                <w:bCs/>
              </w:rPr>
              <w:t>Concedent</w:t>
            </w:r>
          </w:p>
          <w:p w:rsidR="00BB6DF2" w:rsidRPr="008903EF" w:rsidRDefault="00BB6DF2" w:rsidP="00DE2603">
            <w:pPr>
              <w:jc w:val="center"/>
              <w:rPr>
                <w:b/>
                <w:bCs/>
              </w:rPr>
            </w:pPr>
          </w:p>
        </w:tc>
        <w:tc>
          <w:tcPr>
            <w:tcW w:w="599" w:type="pct"/>
            <w:tcBorders>
              <w:top w:val="nil"/>
              <w:left w:val="nil"/>
              <w:bottom w:val="single" w:sz="4" w:space="0" w:color="auto"/>
              <w:right w:val="single" w:sz="4" w:space="0" w:color="auto"/>
            </w:tcBorders>
            <w:shd w:val="clear" w:color="auto" w:fill="FFFF99"/>
            <w:vAlign w:val="center"/>
          </w:tcPr>
          <w:p w:rsidR="00BB6DF2" w:rsidRPr="008903EF" w:rsidRDefault="00BB6DF2" w:rsidP="00DE2603">
            <w:pPr>
              <w:jc w:val="center"/>
              <w:rPr>
                <w:b/>
                <w:bCs/>
              </w:rPr>
            </w:pPr>
            <w:r w:rsidRPr="008903EF">
              <w:rPr>
                <w:b/>
                <w:bCs/>
              </w:rPr>
              <w:t>Risc comun</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Disponibilitatea resurselor financiare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Fonduri necesare pentru investitiile angajate in scopul asigurarii activitatii si a capitalului de lucru necesar. </w:t>
            </w:r>
          </w:p>
          <w:p w:rsidR="00BB6DF2" w:rsidRPr="006D0A65" w:rsidRDefault="00BB6DF2" w:rsidP="00DE2603">
            <w:pPr>
              <w:rPr>
                <w:sz w:val="28"/>
                <w:szCs w:val="28"/>
              </w:rPr>
            </w:pP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855"/>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Cresterea (descresterea) costurilor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Costuri de operare si intretinere pentru derularea activitatii atunci cand acestea sunt altele decat cele anticiparte de operator, indiferent de costul de indexare permis, mai mare (sau mai mic)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69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Modificari ale costurilor rezultate din inflatie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Costurile in cazul inflatiei actuale difera de acelea rezultate prin indexarea costurilor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645"/>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Preturile deseurilor reciclabile si compostului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Riscul variatiilor privind pretul de vanzare a deseurilor reciclabile (plastic, hartie, carton si sticla)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39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Variatia tarifelor la poarta (intrare)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Riscul modificarii nivelului tarifului perceput la intrare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990"/>
        </w:trPr>
        <w:tc>
          <w:tcPr>
            <w:tcW w:w="1232" w:type="pct"/>
            <w:tcBorders>
              <w:top w:val="nil"/>
              <w:left w:val="single" w:sz="4" w:space="0" w:color="auto"/>
              <w:bottom w:val="single" w:sz="4" w:space="0" w:color="auto"/>
              <w:right w:val="single" w:sz="4" w:space="0" w:color="auto"/>
            </w:tcBorders>
            <w:vAlign w:val="center"/>
          </w:tcPr>
          <w:p w:rsidR="00BB6DF2" w:rsidRPr="000C0B4B" w:rsidRDefault="00BB6DF2" w:rsidP="00DE2603">
            <w:pPr>
              <w:rPr>
                <w:sz w:val="28"/>
                <w:szCs w:val="28"/>
              </w:rPr>
            </w:pPr>
            <w:r w:rsidRPr="000C0B4B">
              <w:rPr>
                <w:sz w:val="28"/>
                <w:szCs w:val="28"/>
              </w:rPr>
              <w:t>Riscul colectarii tarifelor de la gospodarii individuale si asociatii</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Riscul ca facturile emise pentru colectarea deseurilor de la gospodarii  sa nu fie platite</w:t>
            </w:r>
          </w:p>
          <w:p w:rsidR="00BB6DF2" w:rsidRPr="006D0A65" w:rsidRDefault="00BB6DF2" w:rsidP="00DE2603">
            <w:pPr>
              <w:rPr>
                <w:sz w:val="28"/>
                <w:szCs w:val="28"/>
              </w:rPr>
            </w:pPr>
            <w:r w:rsidRPr="006D0A65">
              <w:rPr>
                <w:sz w:val="28"/>
                <w:szCs w:val="28"/>
              </w:rPr>
              <w:t xml:space="preserve">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11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Pr>
                <w:sz w:val="28"/>
                <w:szCs w:val="28"/>
              </w:rPr>
              <w:t>A</w:t>
            </w:r>
            <w:r w:rsidRPr="006D0A65">
              <w:rPr>
                <w:sz w:val="28"/>
                <w:szCs w:val="28"/>
              </w:rPr>
              <w:t>lte riscuri privind colectarea</w:t>
            </w:r>
          </w:p>
          <w:p w:rsidR="00BB6DF2" w:rsidRPr="006D0A65" w:rsidRDefault="00BB6DF2" w:rsidP="00DE2603">
            <w:pPr>
              <w:rPr>
                <w:sz w:val="28"/>
                <w:szCs w:val="28"/>
              </w:rPr>
            </w:pP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Riscul ca facturile emise pentru colectarea deseurilor de la gospodariile individuale sau asociatii, agenti comerciali si institutii din mediul urban sa nu fie platite</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Disponibilitatea asigurarii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Riscul ca asigurarile solicitate de catre autoritate sa nu mai fie oferite pe piata asigurarilor</w:t>
            </w:r>
          </w:p>
          <w:p w:rsidR="00BB6DF2" w:rsidRPr="006D0A65" w:rsidRDefault="00BB6DF2" w:rsidP="00DE2603">
            <w:pPr>
              <w:rPr>
                <w:sz w:val="28"/>
                <w:szCs w:val="28"/>
              </w:rPr>
            </w:pP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Disponibilitatea altor asigurari</w:t>
            </w:r>
          </w:p>
          <w:p w:rsidR="00BB6DF2" w:rsidRPr="006D0A65" w:rsidRDefault="00BB6DF2" w:rsidP="00DE2603">
            <w:pPr>
              <w:rPr>
                <w:sz w:val="28"/>
                <w:szCs w:val="28"/>
              </w:rPr>
            </w:pP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Alte asigurari obtinute de catre operator sa nu mai fiie oferite pe piata asigurarilor</w:t>
            </w:r>
          </w:p>
          <w:p w:rsidR="00BB6DF2" w:rsidRPr="006D0A65" w:rsidRDefault="00BB6DF2" w:rsidP="00DE2603">
            <w:pPr>
              <w:rPr>
                <w:sz w:val="28"/>
                <w:szCs w:val="28"/>
              </w:rPr>
            </w:pP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57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Prime de asigurare </w:t>
            </w: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Variatii ale preturilor asigurarilor altele decat cele permise de indexarea costurilor</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960"/>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Modificari ale taxelor indirecte</w:t>
            </w:r>
          </w:p>
          <w:p w:rsidR="00BB6DF2" w:rsidRPr="006D0A65" w:rsidRDefault="00BB6DF2" w:rsidP="00DE2603">
            <w:pPr>
              <w:rPr>
                <w:sz w:val="28"/>
                <w:szCs w:val="28"/>
              </w:rPr>
            </w:pPr>
          </w:p>
        </w:tc>
        <w:tc>
          <w:tcPr>
            <w:tcW w:w="1884" w:type="pct"/>
            <w:tcBorders>
              <w:top w:val="nil"/>
              <w:left w:val="nil"/>
              <w:bottom w:val="single" w:sz="4" w:space="0" w:color="auto"/>
              <w:right w:val="single" w:sz="4" w:space="0" w:color="auto"/>
            </w:tcBorders>
          </w:tcPr>
          <w:p w:rsidR="00BB6DF2" w:rsidRPr="006D0A65" w:rsidRDefault="00BB6DF2" w:rsidP="00DE2603">
            <w:pPr>
              <w:rPr>
                <w:sz w:val="28"/>
                <w:szCs w:val="28"/>
              </w:rPr>
            </w:pPr>
            <w:r w:rsidRPr="006D0A65">
              <w:rPr>
                <w:sz w:val="28"/>
                <w:szCs w:val="28"/>
              </w:rPr>
              <w:t>Modificari ale taxelor indirecte (TVA) si introducerea sau eliminarea taxarii indirecte inclusiv a schemelor de asigurare nationale obligatorii pentru personalul operatorului</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 </w:t>
            </w:r>
          </w:p>
        </w:tc>
        <w:tc>
          <w:tcPr>
            <w:tcW w:w="599"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r w:rsidR="00BB6DF2" w:rsidRPr="006D0A65">
        <w:trPr>
          <w:gridBefore w:val="1"/>
          <w:trHeight w:val="405"/>
        </w:trPr>
        <w:tc>
          <w:tcPr>
            <w:tcW w:w="1232" w:type="pct"/>
            <w:tcBorders>
              <w:top w:val="nil"/>
              <w:left w:val="single" w:sz="4" w:space="0" w:color="auto"/>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Modificatii ale taxarii directe</w:t>
            </w:r>
          </w:p>
          <w:p w:rsidR="00BB6DF2" w:rsidRPr="006D0A65" w:rsidRDefault="00BB6DF2" w:rsidP="00DE2603">
            <w:pPr>
              <w:rPr>
                <w:sz w:val="28"/>
                <w:szCs w:val="28"/>
              </w:rPr>
            </w:pPr>
          </w:p>
        </w:tc>
        <w:tc>
          <w:tcPr>
            <w:tcW w:w="1884" w:type="pct"/>
            <w:tcBorders>
              <w:top w:val="nil"/>
              <w:left w:val="nil"/>
              <w:bottom w:val="single" w:sz="4" w:space="0" w:color="auto"/>
              <w:right w:val="single" w:sz="4" w:space="0" w:color="auto"/>
            </w:tcBorders>
            <w:vAlign w:val="center"/>
          </w:tcPr>
          <w:p w:rsidR="00BB6DF2" w:rsidRPr="006D0A65" w:rsidRDefault="00BB6DF2" w:rsidP="00DE2603">
            <w:pPr>
              <w:rPr>
                <w:sz w:val="28"/>
                <w:szCs w:val="28"/>
              </w:rPr>
            </w:pPr>
            <w:r w:rsidRPr="006D0A65">
              <w:rPr>
                <w:sz w:val="28"/>
                <w:szCs w:val="28"/>
              </w:rPr>
              <w:t xml:space="preserve">Modificari ale impozitului pe profit </w:t>
            </w:r>
          </w:p>
        </w:tc>
        <w:tc>
          <w:tcPr>
            <w:tcW w:w="685" w:type="pct"/>
            <w:tcBorders>
              <w:top w:val="nil"/>
              <w:left w:val="nil"/>
              <w:bottom w:val="single" w:sz="4" w:space="0" w:color="auto"/>
              <w:right w:val="single" w:sz="4" w:space="0" w:color="auto"/>
            </w:tcBorders>
            <w:vAlign w:val="center"/>
          </w:tcPr>
          <w:p w:rsidR="00BB6DF2" w:rsidRPr="006D0A65" w:rsidRDefault="00BB6DF2" w:rsidP="00DE2603">
            <w:pPr>
              <w:jc w:val="center"/>
              <w:rPr>
                <w:b/>
                <w:bCs/>
                <w:sz w:val="28"/>
                <w:szCs w:val="28"/>
              </w:rPr>
            </w:pPr>
            <w:r w:rsidRPr="006D0A65">
              <w:rPr>
                <w:b/>
                <w:bCs/>
                <w:sz w:val="28"/>
                <w:szCs w:val="28"/>
              </w:rPr>
              <w:t>X</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c>
          <w:tcPr>
            <w:tcW w:w="599" w:type="pct"/>
            <w:tcBorders>
              <w:top w:val="nil"/>
              <w:left w:val="nil"/>
              <w:bottom w:val="single" w:sz="4" w:space="0" w:color="auto"/>
              <w:right w:val="single" w:sz="4" w:space="0" w:color="auto"/>
            </w:tcBorders>
            <w:noWrap/>
            <w:vAlign w:val="center"/>
          </w:tcPr>
          <w:p w:rsidR="00BB6DF2" w:rsidRPr="006D0A65" w:rsidRDefault="00BB6DF2" w:rsidP="00DE2603">
            <w:pPr>
              <w:jc w:val="center"/>
              <w:rPr>
                <w:sz w:val="28"/>
                <w:szCs w:val="28"/>
              </w:rPr>
            </w:pPr>
            <w:r w:rsidRPr="006D0A65">
              <w:rPr>
                <w:sz w:val="28"/>
                <w:szCs w:val="28"/>
              </w:rPr>
              <w:t> </w:t>
            </w:r>
          </w:p>
        </w:tc>
      </w:tr>
    </w:tbl>
    <w:p w:rsidR="00BB6DF2" w:rsidRPr="006D0A65" w:rsidRDefault="00BB6DF2" w:rsidP="009138F5">
      <w:pPr>
        <w:autoSpaceDE w:val="0"/>
        <w:autoSpaceDN w:val="0"/>
        <w:adjustRightInd w:val="0"/>
        <w:jc w:val="both"/>
        <w:rPr>
          <w:color w:val="000000"/>
          <w:sz w:val="28"/>
          <w:szCs w:val="28"/>
        </w:rPr>
      </w:pPr>
    </w:p>
    <w:p w:rsidR="00BB6DF2" w:rsidRPr="006D0A65" w:rsidRDefault="00BB6DF2" w:rsidP="009138F5">
      <w:pPr>
        <w:autoSpaceDE w:val="0"/>
        <w:autoSpaceDN w:val="0"/>
        <w:adjustRightInd w:val="0"/>
        <w:jc w:val="both"/>
        <w:rPr>
          <w:color w:val="000000"/>
          <w:sz w:val="28"/>
          <w:szCs w:val="28"/>
        </w:rPr>
      </w:pPr>
      <w:r w:rsidRPr="006D0A65">
        <w:rPr>
          <w:color w:val="000000"/>
          <w:sz w:val="28"/>
          <w:szCs w:val="28"/>
        </w:rPr>
        <w:t>Din totalul de riscuri estimate repartizarea riscurilor este:</w:t>
      </w:r>
    </w:p>
    <w:p w:rsidR="00BB6DF2" w:rsidRPr="006D0A65" w:rsidRDefault="00BB6DF2" w:rsidP="009138F5">
      <w:pPr>
        <w:numPr>
          <w:ilvl w:val="0"/>
          <w:numId w:val="2"/>
        </w:numPr>
        <w:autoSpaceDE w:val="0"/>
        <w:autoSpaceDN w:val="0"/>
        <w:adjustRightInd w:val="0"/>
        <w:jc w:val="both"/>
        <w:rPr>
          <w:b/>
          <w:bCs/>
          <w:color w:val="000000"/>
          <w:sz w:val="28"/>
          <w:szCs w:val="28"/>
        </w:rPr>
      </w:pPr>
      <w:r w:rsidRPr="006D0A65">
        <w:rPr>
          <w:color w:val="000000"/>
          <w:sz w:val="28"/>
          <w:szCs w:val="28"/>
        </w:rPr>
        <w:t xml:space="preserve">concesionar   </w:t>
      </w:r>
      <w:r w:rsidRPr="006D0A65">
        <w:rPr>
          <w:b/>
          <w:bCs/>
          <w:color w:val="000000"/>
          <w:sz w:val="28"/>
          <w:szCs w:val="28"/>
        </w:rPr>
        <w:t>76 %</w:t>
      </w:r>
    </w:p>
    <w:p w:rsidR="00BB6DF2" w:rsidRPr="006D0A65" w:rsidRDefault="00BB6DF2" w:rsidP="009138F5">
      <w:pPr>
        <w:numPr>
          <w:ilvl w:val="0"/>
          <w:numId w:val="2"/>
        </w:numPr>
        <w:autoSpaceDE w:val="0"/>
        <w:autoSpaceDN w:val="0"/>
        <w:adjustRightInd w:val="0"/>
        <w:jc w:val="both"/>
        <w:rPr>
          <w:color w:val="000000"/>
          <w:sz w:val="28"/>
          <w:szCs w:val="28"/>
        </w:rPr>
      </w:pPr>
      <w:r w:rsidRPr="006D0A65">
        <w:rPr>
          <w:color w:val="000000"/>
          <w:sz w:val="28"/>
          <w:szCs w:val="28"/>
        </w:rPr>
        <w:t xml:space="preserve">concedent      </w:t>
      </w:r>
      <w:r w:rsidRPr="006D0A65">
        <w:rPr>
          <w:b/>
          <w:bCs/>
          <w:color w:val="000000"/>
          <w:sz w:val="28"/>
          <w:szCs w:val="28"/>
        </w:rPr>
        <w:t>15 %</w:t>
      </w:r>
    </w:p>
    <w:p w:rsidR="00BB6DF2" w:rsidRPr="006D0A65" w:rsidRDefault="00BB6DF2" w:rsidP="009138F5">
      <w:pPr>
        <w:numPr>
          <w:ilvl w:val="0"/>
          <w:numId w:val="2"/>
        </w:numPr>
        <w:autoSpaceDE w:val="0"/>
        <w:autoSpaceDN w:val="0"/>
        <w:adjustRightInd w:val="0"/>
        <w:jc w:val="both"/>
        <w:rPr>
          <w:b/>
          <w:bCs/>
          <w:color w:val="000000"/>
          <w:sz w:val="28"/>
          <w:szCs w:val="28"/>
        </w:rPr>
      </w:pPr>
      <w:r w:rsidRPr="006D0A65">
        <w:rPr>
          <w:color w:val="000000"/>
          <w:sz w:val="28"/>
          <w:szCs w:val="28"/>
        </w:rPr>
        <w:t xml:space="preserve">riscuri comune  </w:t>
      </w:r>
      <w:r w:rsidRPr="006D0A65">
        <w:rPr>
          <w:b/>
          <w:bCs/>
          <w:color w:val="000000"/>
          <w:sz w:val="28"/>
          <w:szCs w:val="28"/>
        </w:rPr>
        <w:t>9 %</w:t>
      </w:r>
    </w:p>
    <w:p w:rsidR="00BB6DF2" w:rsidRPr="006D0A65" w:rsidRDefault="00BB6DF2" w:rsidP="009138F5">
      <w:pPr>
        <w:autoSpaceDE w:val="0"/>
        <w:autoSpaceDN w:val="0"/>
        <w:adjustRightInd w:val="0"/>
        <w:jc w:val="both"/>
        <w:rPr>
          <w:b/>
          <w:bCs/>
          <w:color w:val="000000"/>
          <w:sz w:val="28"/>
          <w:szCs w:val="28"/>
        </w:rPr>
      </w:pPr>
    </w:p>
    <w:p w:rsidR="00BB6DF2" w:rsidRDefault="00BB6DF2" w:rsidP="000C0B4B">
      <w:pPr>
        <w:pStyle w:val="NormalWeb"/>
        <w:ind w:firstLine="720"/>
        <w:jc w:val="center"/>
        <w:rPr>
          <w:sz w:val="28"/>
          <w:szCs w:val="28"/>
          <w:lang w:val="ro-RO"/>
        </w:rPr>
      </w:pPr>
      <w:r>
        <w:rPr>
          <w:sz w:val="28"/>
          <w:szCs w:val="28"/>
          <w:lang w:val="ro-RO"/>
        </w:rPr>
        <w:t>Întocmit de Colectivul de coordonare şi supervizare</w:t>
      </w:r>
    </w:p>
    <w:p w:rsidR="00BB6DF2" w:rsidRDefault="00BB6DF2" w:rsidP="000C0B4B">
      <w:pPr>
        <w:pStyle w:val="NormalWeb"/>
        <w:ind w:firstLine="720"/>
        <w:jc w:val="both"/>
        <w:rPr>
          <w:sz w:val="28"/>
          <w:szCs w:val="28"/>
          <w:lang w:val="ro-RO"/>
        </w:rPr>
      </w:pPr>
      <w:r>
        <w:rPr>
          <w:sz w:val="28"/>
          <w:szCs w:val="28"/>
          <w:lang w:val="ro-RO"/>
        </w:rPr>
        <w:t xml:space="preserve">Preşedinte: </w:t>
      </w:r>
      <w:r>
        <w:rPr>
          <w:sz w:val="28"/>
          <w:szCs w:val="28"/>
          <w:lang w:val="ro-RO"/>
        </w:rPr>
        <w:tab/>
        <w:t>Andrei Iulian-Gabriel, primar</w:t>
      </w:r>
    </w:p>
    <w:p w:rsidR="00BB6DF2" w:rsidRDefault="00BB6DF2" w:rsidP="000C0B4B">
      <w:pPr>
        <w:pStyle w:val="NormalWeb"/>
        <w:ind w:firstLine="720"/>
        <w:jc w:val="both"/>
        <w:rPr>
          <w:sz w:val="28"/>
          <w:szCs w:val="28"/>
          <w:lang w:val="ro-RO"/>
        </w:rPr>
      </w:pPr>
      <w:r>
        <w:rPr>
          <w:sz w:val="28"/>
          <w:szCs w:val="28"/>
          <w:lang w:val="ro-RO"/>
        </w:rPr>
        <w:t xml:space="preserve">Secretar: </w:t>
      </w:r>
      <w:r>
        <w:rPr>
          <w:sz w:val="28"/>
          <w:szCs w:val="28"/>
          <w:lang w:val="ro-RO"/>
        </w:rPr>
        <w:tab/>
        <w:t>Costache Mirela, secretar comună</w:t>
      </w:r>
    </w:p>
    <w:p w:rsidR="00BB6DF2" w:rsidRDefault="00BB6DF2" w:rsidP="000C0B4B">
      <w:pPr>
        <w:pStyle w:val="NormalWeb"/>
        <w:ind w:firstLine="720"/>
        <w:jc w:val="both"/>
        <w:rPr>
          <w:sz w:val="28"/>
          <w:szCs w:val="28"/>
          <w:lang w:val="ro-RO"/>
        </w:rPr>
      </w:pPr>
      <w:r>
        <w:rPr>
          <w:sz w:val="28"/>
          <w:szCs w:val="28"/>
          <w:lang w:val="ro-RO"/>
        </w:rPr>
        <w:t>Membri:</w:t>
      </w:r>
      <w:r>
        <w:rPr>
          <w:sz w:val="28"/>
          <w:szCs w:val="28"/>
          <w:lang w:val="ro-RO"/>
        </w:rPr>
        <w:tab/>
        <w:t>Ghiță Stelian, viceprimar</w:t>
      </w:r>
    </w:p>
    <w:p w:rsidR="00BB6DF2" w:rsidRDefault="00BB6DF2" w:rsidP="000C0B4B">
      <w:pPr>
        <w:pStyle w:val="NormalWeb"/>
        <w:ind w:left="2160"/>
        <w:jc w:val="both"/>
        <w:rPr>
          <w:sz w:val="28"/>
          <w:szCs w:val="28"/>
          <w:lang w:val="ro-RO"/>
        </w:rPr>
      </w:pPr>
      <w:r>
        <w:rPr>
          <w:sz w:val="28"/>
          <w:szCs w:val="28"/>
          <w:lang w:val="ro-RO"/>
        </w:rPr>
        <w:t>Vlad Adriana, şef Birou financiar-contabilitate, taxe şi impozite, resurse umane</w:t>
      </w:r>
    </w:p>
    <w:p w:rsidR="00BB6DF2" w:rsidRDefault="00BB6DF2" w:rsidP="000C0B4B">
      <w:pPr>
        <w:pStyle w:val="NormalWeb"/>
        <w:ind w:firstLine="720"/>
        <w:jc w:val="both"/>
        <w:rPr>
          <w:sz w:val="28"/>
          <w:szCs w:val="28"/>
          <w:lang w:val="ro-RO"/>
        </w:rPr>
      </w:pPr>
      <w:r>
        <w:rPr>
          <w:sz w:val="28"/>
          <w:szCs w:val="28"/>
          <w:lang w:val="ro-RO"/>
        </w:rPr>
        <w:tab/>
      </w:r>
      <w:r>
        <w:rPr>
          <w:sz w:val="28"/>
          <w:szCs w:val="28"/>
          <w:lang w:val="ro-RO"/>
        </w:rPr>
        <w:tab/>
        <w:t>Stan Sorina, inspector urbanism</w:t>
      </w:r>
    </w:p>
    <w:p w:rsidR="00BB6DF2" w:rsidRDefault="00BB6DF2" w:rsidP="000C0B4B">
      <w:pPr>
        <w:pStyle w:val="NormalWeb"/>
        <w:ind w:left="2160"/>
        <w:jc w:val="both"/>
        <w:rPr>
          <w:sz w:val="28"/>
          <w:szCs w:val="28"/>
          <w:lang w:val="ro-RO"/>
        </w:rPr>
      </w:pPr>
      <w:r>
        <w:rPr>
          <w:sz w:val="28"/>
          <w:szCs w:val="28"/>
          <w:lang w:val="ro-RO"/>
        </w:rPr>
        <w:t>Preda Georgeta-Violeta, consilier compartiment agricol şi cadastru</w:t>
      </w:r>
    </w:p>
    <w:p w:rsidR="00BB6DF2" w:rsidRPr="00D0177B" w:rsidRDefault="00BB6DF2" w:rsidP="000C0B4B">
      <w:pPr>
        <w:pStyle w:val="NormalWeb"/>
        <w:ind w:left="2160"/>
        <w:jc w:val="both"/>
        <w:rPr>
          <w:sz w:val="28"/>
          <w:szCs w:val="28"/>
          <w:lang w:val="ro-RO"/>
        </w:rPr>
      </w:pPr>
      <w:r>
        <w:rPr>
          <w:sz w:val="28"/>
          <w:szCs w:val="28"/>
          <w:lang w:val="ro-RO"/>
        </w:rPr>
        <w:t>Zaharia Daniel, administrator S.C. KRYNADA SMART SOLUTION S.R.L., expert extern</w:t>
      </w:r>
    </w:p>
    <w:p w:rsidR="00BB6DF2" w:rsidRPr="006D0A65" w:rsidRDefault="00BB6DF2">
      <w:pPr>
        <w:rPr>
          <w:sz w:val="28"/>
          <w:szCs w:val="28"/>
        </w:rPr>
      </w:pPr>
    </w:p>
    <w:sectPr w:rsidR="00BB6DF2" w:rsidRPr="006D0A65" w:rsidSect="007432D3">
      <w:footerReference w:type="default" r:id="rId7"/>
      <w:pgSz w:w="12240" w:h="15840"/>
      <w:pgMar w:top="720" w:right="540" w:bottom="90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F2" w:rsidRDefault="00BB6DF2" w:rsidP="005C6D9E">
      <w:r>
        <w:separator/>
      </w:r>
    </w:p>
  </w:endnote>
  <w:endnote w:type="continuationSeparator" w:id="0">
    <w:p w:rsidR="00BB6DF2" w:rsidRDefault="00BB6DF2" w:rsidP="005C6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F2" w:rsidRDefault="00BB6DF2" w:rsidP="007432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B6DF2" w:rsidRDefault="00BB6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F2" w:rsidRDefault="00BB6DF2" w:rsidP="005C6D9E">
      <w:r>
        <w:separator/>
      </w:r>
    </w:p>
  </w:footnote>
  <w:footnote w:type="continuationSeparator" w:id="0">
    <w:p w:rsidR="00BB6DF2" w:rsidRDefault="00BB6DF2" w:rsidP="005C6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731"/>
    <w:multiLevelType w:val="hybridMultilevel"/>
    <w:tmpl w:val="36EC6D30"/>
    <w:lvl w:ilvl="0" w:tplc="58506E6E">
      <w:start w:val="1"/>
      <w:numFmt w:val="decimal"/>
      <w:lvlText w:val="%1."/>
      <w:lvlJc w:val="left"/>
      <w:pPr>
        <w:tabs>
          <w:tab w:val="num" w:pos="360"/>
        </w:tabs>
        <w:ind w:left="360" w:hanging="360"/>
      </w:pPr>
      <w:rPr>
        <w:rFonts w:cs="Times New Roman" w:hint="default"/>
      </w:rPr>
    </w:lvl>
    <w:lvl w:ilvl="1" w:tplc="0B32FB3A">
      <w:numFmt w:val="none"/>
      <w:lvlText w:val=""/>
      <w:lvlJc w:val="left"/>
      <w:pPr>
        <w:tabs>
          <w:tab w:val="num" w:pos="360"/>
        </w:tabs>
      </w:pPr>
      <w:rPr>
        <w:rFonts w:cs="Times New Roman"/>
      </w:rPr>
    </w:lvl>
    <w:lvl w:ilvl="2" w:tplc="7CEC024E">
      <w:numFmt w:val="none"/>
      <w:lvlText w:val=""/>
      <w:lvlJc w:val="left"/>
      <w:pPr>
        <w:tabs>
          <w:tab w:val="num" w:pos="360"/>
        </w:tabs>
      </w:pPr>
      <w:rPr>
        <w:rFonts w:cs="Times New Roman"/>
      </w:rPr>
    </w:lvl>
    <w:lvl w:ilvl="3" w:tplc="BBDECD88">
      <w:numFmt w:val="none"/>
      <w:lvlText w:val=""/>
      <w:lvlJc w:val="left"/>
      <w:pPr>
        <w:tabs>
          <w:tab w:val="num" w:pos="360"/>
        </w:tabs>
      </w:pPr>
      <w:rPr>
        <w:rFonts w:cs="Times New Roman"/>
      </w:rPr>
    </w:lvl>
    <w:lvl w:ilvl="4" w:tplc="989283A8">
      <w:numFmt w:val="none"/>
      <w:lvlText w:val=""/>
      <w:lvlJc w:val="left"/>
      <w:pPr>
        <w:tabs>
          <w:tab w:val="num" w:pos="360"/>
        </w:tabs>
      </w:pPr>
      <w:rPr>
        <w:rFonts w:cs="Times New Roman"/>
      </w:rPr>
    </w:lvl>
    <w:lvl w:ilvl="5" w:tplc="6CFA1058">
      <w:numFmt w:val="none"/>
      <w:lvlText w:val=""/>
      <w:lvlJc w:val="left"/>
      <w:pPr>
        <w:tabs>
          <w:tab w:val="num" w:pos="360"/>
        </w:tabs>
      </w:pPr>
      <w:rPr>
        <w:rFonts w:cs="Times New Roman"/>
      </w:rPr>
    </w:lvl>
    <w:lvl w:ilvl="6" w:tplc="5086A90E">
      <w:numFmt w:val="none"/>
      <w:lvlText w:val=""/>
      <w:lvlJc w:val="left"/>
      <w:pPr>
        <w:tabs>
          <w:tab w:val="num" w:pos="360"/>
        </w:tabs>
      </w:pPr>
      <w:rPr>
        <w:rFonts w:cs="Times New Roman"/>
      </w:rPr>
    </w:lvl>
    <w:lvl w:ilvl="7" w:tplc="0B041E26">
      <w:numFmt w:val="none"/>
      <w:lvlText w:val=""/>
      <w:lvlJc w:val="left"/>
      <w:pPr>
        <w:tabs>
          <w:tab w:val="num" w:pos="360"/>
        </w:tabs>
      </w:pPr>
      <w:rPr>
        <w:rFonts w:cs="Times New Roman"/>
      </w:rPr>
    </w:lvl>
    <w:lvl w:ilvl="8" w:tplc="E98C4356">
      <w:numFmt w:val="none"/>
      <w:lvlText w:val=""/>
      <w:lvlJc w:val="left"/>
      <w:pPr>
        <w:tabs>
          <w:tab w:val="num" w:pos="360"/>
        </w:tabs>
      </w:pPr>
      <w:rPr>
        <w:rFonts w:cs="Times New Roman"/>
      </w:rPr>
    </w:lvl>
  </w:abstractNum>
  <w:abstractNum w:abstractNumId="1">
    <w:nsid w:val="30BE20A9"/>
    <w:multiLevelType w:val="hybridMultilevel"/>
    <w:tmpl w:val="1BFC164E"/>
    <w:lvl w:ilvl="0" w:tplc="7A9E764E">
      <w:start w:val="1"/>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7A252809"/>
    <w:multiLevelType w:val="hybridMultilevel"/>
    <w:tmpl w:val="2E16606E"/>
    <w:lvl w:ilvl="0" w:tplc="0E2E42EE">
      <w:start w:val="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FE3"/>
    <w:rsid w:val="00002BFB"/>
    <w:rsid w:val="000B40C4"/>
    <w:rsid w:val="000C0B4B"/>
    <w:rsid w:val="000E4121"/>
    <w:rsid w:val="001409EC"/>
    <w:rsid w:val="00151C01"/>
    <w:rsid w:val="001958A6"/>
    <w:rsid w:val="00203C61"/>
    <w:rsid w:val="002224E7"/>
    <w:rsid w:val="002E21F6"/>
    <w:rsid w:val="002E45D3"/>
    <w:rsid w:val="003112B4"/>
    <w:rsid w:val="003117A9"/>
    <w:rsid w:val="003126F1"/>
    <w:rsid w:val="00316313"/>
    <w:rsid w:val="003361DC"/>
    <w:rsid w:val="00403450"/>
    <w:rsid w:val="00423C45"/>
    <w:rsid w:val="00461845"/>
    <w:rsid w:val="004B5E79"/>
    <w:rsid w:val="004D150F"/>
    <w:rsid w:val="00535DCC"/>
    <w:rsid w:val="00542205"/>
    <w:rsid w:val="00556F8F"/>
    <w:rsid w:val="005714AA"/>
    <w:rsid w:val="005C6D9E"/>
    <w:rsid w:val="00692BBF"/>
    <w:rsid w:val="006D0A65"/>
    <w:rsid w:val="006D1FF3"/>
    <w:rsid w:val="006D4570"/>
    <w:rsid w:val="006E0C6D"/>
    <w:rsid w:val="006F0D0C"/>
    <w:rsid w:val="007432D3"/>
    <w:rsid w:val="007E4E2A"/>
    <w:rsid w:val="007F2810"/>
    <w:rsid w:val="007F4F49"/>
    <w:rsid w:val="00867EC9"/>
    <w:rsid w:val="008903EF"/>
    <w:rsid w:val="008E17E9"/>
    <w:rsid w:val="008F015C"/>
    <w:rsid w:val="009138F5"/>
    <w:rsid w:val="0091615D"/>
    <w:rsid w:val="009611D1"/>
    <w:rsid w:val="009646E6"/>
    <w:rsid w:val="009652B5"/>
    <w:rsid w:val="00974319"/>
    <w:rsid w:val="00981060"/>
    <w:rsid w:val="009969F4"/>
    <w:rsid w:val="009B5FE3"/>
    <w:rsid w:val="009F485D"/>
    <w:rsid w:val="00A36FF1"/>
    <w:rsid w:val="00A660BF"/>
    <w:rsid w:val="00A91056"/>
    <w:rsid w:val="00AA67DF"/>
    <w:rsid w:val="00B31186"/>
    <w:rsid w:val="00BB6DF2"/>
    <w:rsid w:val="00BF680B"/>
    <w:rsid w:val="00C3022D"/>
    <w:rsid w:val="00C4051A"/>
    <w:rsid w:val="00C53A12"/>
    <w:rsid w:val="00C564B5"/>
    <w:rsid w:val="00C92FC1"/>
    <w:rsid w:val="00CD7CCF"/>
    <w:rsid w:val="00D0177B"/>
    <w:rsid w:val="00D6218F"/>
    <w:rsid w:val="00D854D0"/>
    <w:rsid w:val="00DE2603"/>
    <w:rsid w:val="00E3785C"/>
    <w:rsid w:val="00EE3173"/>
    <w:rsid w:val="00F4469C"/>
    <w:rsid w:val="00FB7B3E"/>
    <w:rsid w:val="00FC1C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F5"/>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38F5"/>
    <w:pPr>
      <w:tabs>
        <w:tab w:val="center" w:pos="4153"/>
        <w:tab w:val="right" w:pos="8306"/>
      </w:tabs>
    </w:pPr>
  </w:style>
  <w:style w:type="character" w:customStyle="1" w:styleId="FooterChar">
    <w:name w:val="Footer Char"/>
    <w:basedOn w:val="DefaultParagraphFont"/>
    <w:link w:val="Footer"/>
    <w:uiPriority w:val="99"/>
    <w:locked/>
    <w:rsid w:val="009138F5"/>
    <w:rPr>
      <w:rFonts w:ascii="Times New Roman" w:hAnsi="Times New Roman" w:cs="Times New Roman"/>
      <w:sz w:val="24"/>
      <w:szCs w:val="24"/>
      <w:lang w:val="ro-RO" w:eastAsia="ro-RO"/>
    </w:rPr>
  </w:style>
  <w:style w:type="character" w:styleId="PageNumber">
    <w:name w:val="page number"/>
    <w:basedOn w:val="DefaultParagraphFont"/>
    <w:uiPriority w:val="99"/>
    <w:rsid w:val="009138F5"/>
    <w:rPr>
      <w:rFonts w:cs="Times New Roman"/>
    </w:rPr>
  </w:style>
  <w:style w:type="paragraph" w:styleId="NormalWeb">
    <w:name w:val="Normal (Web)"/>
    <w:basedOn w:val="Normal"/>
    <w:uiPriority w:val="99"/>
    <w:rsid w:val="000C0B4B"/>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10</Pages>
  <Words>3093</Words>
  <Characters>17635</Characters>
  <Application>Microsoft Office Outlook</Application>
  <DocSecurity>0</DocSecurity>
  <Lines>0</Lines>
  <Paragraphs>0</Paragraphs>
  <ScaleCrop>false</ScaleCrop>
  <Company>SC ARS ADVERTISING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PCAsus</dc:creator>
  <cp:keywords/>
  <dc:description/>
  <cp:lastModifiedBy>admin</cp:lastModifiedBy>
  <cp:revision>27</cp:revision>
  <cp:lastPrinted>2014-09-17T09:15:00Z</cp:lastPrinted>
  <dcterms:created xsi:type="dcterms:W3CDTF">2014-08-11T04:44:00Z</dcterms:created>
  <dcterms:modified xsi:type="dcterms:W3CDTF">2014-09-17T09:56:00Z</dcterms:modified>
</cp:coreProperties>
</file>